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59" w:rsidRDefault="004C0E14" w:rsidP="004C0E14">
      <w:pPr>
        <w:spacing w:after="0"/>
        <w:jc w:val="center"/>
        <w:rPr>
          <w:sz w:val="36"/>
          <w:szCs w:val="36"/>
        </w:rPr>
      </w:pPr>
      <w:r>
        <w:rPr>
          <w:sz w:val="36"/>
          <w:szCs w:val="36"/>
        </w:rPr>
        <w:t>Parish employee handbook guidance</w:t>
      </w:r>
    </w:p>
    <w:p w:rsidR="004C0E14" w:rsidRDefault="004C0E14" w:rsidP="004C0E14">
      <w:pPr>
        <w:spacing w:after="0"/>
        <w:jc w:val="center"/>
        <w:rPr>
          <w:sz w:val="36"/>
          <w:szCs w:val="36"/>
        </w:rPr>
      </w:pPr>
    </w:p>
    <w:p w:rsidR="00B45C27" w:rsidRDefault="008B6B80" w:rsidP="004C0E14">
      <w:pPr>
        <w:spacing w:after="0"/>
        <w:rPr>
          <w:sz w:val="24"/>
          <w:szCs w:val="24"/>
        </w:rPr>
      </w:pPr>
      <w:r>
        <w:rPr>
          <w:sz w:val="24"/>
          <w:szCs w:val="24"/>
        </w:rPr>
        <w:t xml:space="preserve">There is no legal requirement for an organisation to have an employee handbook. However, it can be </w:t>
      </w:r>
      <w:r w:rsidR="00EE487C">
        <w:rPr>
          <w:sz w:val="24"/>
          <w:szCs w:val="24"/>
        </w:rPr>
        <w:t xml:space="preserve">a valuable resource, serving as a communication </w:t>
      </w:r>
      <w:r w:rsidR="005578F9">
        <w:rPr>
          <w:sz w:val="24"/>
          <w:szCs w:val="24"/>
        </w:rPr>
        <w:t xml:space="preserve">and engagement </w:t>
      </w:r>
      <w:r w:rsidR="00EE487C">
        <w:rPr>
          <w:sz w:val="24"/>
          <w:szCs w:val="24"/>
        </w:rPr>
        <w:t>tool, and protecting the employer.</w:t>
      </w:r>
      <w:r w:rsidR="00541E90">
        <w:rPr>
          <w:sz w:val="24"/>
          <w:szCs w:val="24"/>
        </w:rPr>
        <w:t xml:space="preserve"> </w:t>
      </w:r>
    </w:p>
    <w:p w:rsidR="005578F9" w:rsidRDefault="005578F9" w:rsidP="004C0E14">
      <w:pPr>
        <w:spacing w:after="0"/>
        <w:rPr>
          <w:sz w:val="24"/>
          <w:szCs w:val="24"/>
        </w:rPr>
      </w:pPr>
    </w:p>
    <w:p w:rsidR="005578F9" w:rsidRDefault="005578F9" w:rsidP="004C0E14">
      <w:pPr>
        <w:spacing w:after="0"/>
        <w:rPr>
          <w:sz w:val="24"/>
          <w:szCs w:val="24"/>
        </w:rPr>
      </w:pPr>
      <w:r>
        <w:rPr>
          <w:sz w:val="24"/>
          <w:szCs w:val="24"/>
        </w:rPr>
        <w:t>Once finalised</w:t>
      </w:r>
      <w:r w:rsidR="007E67F3">
        <w:rPr>
          <w:sz w:val="24"/>
          <w:szCs w:val="24"/>
        </w:rPr>
        <w:t xml:space="preserve"> by the PCC</w:t>
      </w:r>
      <w:r>
        <w:rPr>
          <w:sz w:val="24"/>
          <w:szCs w:val="24"/>
        </w:rPr>
        <w:t xml:space="preserve">, the handbook should be rolled out to all existing employees, and subsequently, to each new employee who </w:t>
      </w:r>
      <w:r w:rsidR="007E67F3">
        <w:rPr>
          <w:sz w:val="24"/>
          <w:szCs w:val="24"/>
        </w:rPr>
        <w:t>joins the parish</w:t>
      </w:r>
      <w:r>
        <w:rPr>
          <w:sz w:val="24"/>
          <w:szCs w:val="24"/>
        </w:rPr>
        <w:t>.</w:t>
      </w:r>
    </w:p>
    <w:p w:rsidR="00B45C27" w:rsidRDefault="00B45C27" w:rsidP="004C0E14">
      <w:pPr>
        <w:spacing w:after="0"/>
        <w:rPr>
          <w:sz w:val="24"/>
          <w:szCs w:val="24"/>
        </w:rPr>
      </w:pPr>
    </w:p>
    <w:p w:rsidR="00FB529A" w:rsidRDefault="00541E90" w:rsidP="004C0E14">
      <w:pPr>
        <w:spacing w:after="0"/>
        <w:rPr>
          <w:sz w:val="24"/>
          <w:szCs w:val="24"/>
        </w:rPr>
      </w:pPr>
      <w:r>
        <w:rPr>
          <w:sz w:val="24"/>
          <w:szCs w:val="24"/>
        </w:rPr>
        <w:t>Below are some suggestions for what an employee handbook could contain:</w:t>
      </w:r>
    </w:p>
    <w:p w:rsidR="00FB529A" w:rsidRDefault="00FB529A" w:rsidP="004C0E14">
      <w:pPr>
        <w:spacing w:after="0"/>
        <w:rPr>
          <w:sz w:val="24"/>
          <w:szCs w:val="24"/>
        </w:rPr>
      </w:pPr>
    </w:p>
    <w:p w:rsidR="00AE1418" w:rsidRDefault="00AE1418" w:rsidP="004C0E14">
      <w:pPr>
        <w:spacing w:after="0"/>
        <w:rPr>
          <w:b/>
          <w:sz w:val="24"/>
          <w:szCs w:val="24"/>
        </w:rPr>
      </w:pPr>
      <w:r>
        <w:rPr>
          <w:b/>
          <w:sz w:val="24"/>
          <w:szCs w:val="24"/>
        </w:rPr>
        <w:t>Contents page</w:t>
      </w:r>
    </w:p>
    <w:p w:rsidR="00AE1418" w:rsidRPr="00AE1418" w:rsidRDefault="00AE1418" w:rsidP="004C0E14">
      <w:pPr>
        <w:spacing w:after="0"/>
        <w:rPr>
          <w:sz w:val="24"/>
          <w:szCs w:val="24"/>
        </w:rPr>
      </w:pPr>
      <w:r>
        <w:rPr>
          <w:sz w:val="24"/>
          <w:szCs w:val="24"/>
        </w:rPr>
        <w:t>A useful way to be able to look at the contents of the handbook at a glance.</w:t>
      </w:r>
    </w:p>
    <w:p w:rsidR="00AE1418" w:rsidRDefault="00AE1418" w:rsidP="004C0E14">
      <w:pPr>
        <w:spacing w:after="0"/>
        <w:rPr>
          <w:b/>
          <w:sz w:val="24"/>
          <w:szCs w:val="24"/>
        </w:rPr>
      </w:pPr>
    </w:p>
    <w:p w:rsidR="00FB529A" w:rsidRDefault="00FB529A" w:rsidP="004C0E14">
      <w:pPr>
        <w:spacing w:after="0"/>
        <w:rPr>
          <w:b/>
          <w:sz w:val="24"/>
          <w:szCs w:val="24"/>
        </w:rPr>
      </w:pPr>
      <w:r w:rsidRPr="00080982">
        <w:rPr>
          <w:b/>
          <w:sz w:val="24"/>
          <w:szCs w:val="24"/>
        </w:rPr>
        <w:t>The parish’</w:t>
      </w:r>
      <w:r w:rsidR="00080982">
        <w:rPr>
          <w:b/>
          <w:sz w:val="24"/>
          <w:szCs w:val="24"/>
        </w:rPr>
        <w:t>s history</w:t>
      </w:r>
      <w:r w:rsidRPr="00080982">
        <w:rPr>
          <w:b/>
          <w:sz w:val="24"/>
          <w:szCs w:val="24"/>
        </w:rPr>
        <w:t xml:space="preserve"> and </w:t>
      </w:r>
      <w:r w:rsidR="007F189D">
        <w:rPr>
          <w:b/>
          <w:sz w:val="24"/>
          <w:szCs w:val="24"/>
        </w:rPr>
        <w:t>introduction to the parish</w:t>
      </w:r>
    </w:p>
    <w:p w:rsidR="00080982" w:rsidRPr="00080982" w:rsidRDefault="00080982" w:rsidP="004C0E14">
      <w:pPr>
        <w:spacing w:after="0"/>
        <w:rPr>
          <w:sz w:val="24"/>
          <w:szCs w:val="24"/>
        </w:rPr>
      </w:pPr>
      <w:r>
        <w:rPr>
          <w:sz w:val="24"/>
          <w:szCs w:val="24"/>
        </w:rPr>
        <w:t>This is a good way to e</w:t>
      </w:r>
      <w:r w:rsidR="00487ADA">
        <w:rPr>
          <w:sz w:val="24"/>
          <w:szCs w:val="24"/>
        </w:rPr>
        <w:t>ase an employee into a new workplace</w:t>
      </w:r>
      <w:r>
        <w:rPr>
          <w:sz w:val="24"/>
          <w:szCs w:val="24"/>
        </w:rPr>
        <w:t xml:space="preserve"> and provide useful information that they need to know. This could include info about the parish’</w:t>
      </w:r>
      <w:r w:rsidR="00343792">
        <w:rPr>
          <w:sz w:val="24"/>
          <w:szCs w:val="24"/>
        </w:rPr>
        <w:t>s facilities, for example, and an equal opportunities statement.</w:t>
      </w:r>
    </w:p>
    <w:p w:rsidR="00FB529A" w:rsidRDefault="00FB529A" w:rsidP="004C0E14">
      <w:pPr>
        <w:spacing w:after="0"/>
        <w:rPr>
          <w:sz w:val="24"/>
          <w:szCs w:val="24"/>
        </w:rPr>
      </w:pPr>
    </w:p>
    <w:p w:rsidR="00FB529A" w:rsidRDefault="00FB529A" w:rsidP="004C0E14">
      <w:pPr>
        <w:spacing w:after="0"/>
        <w:rPr>
          <w:b/>
          <w:sz w:val="24"/>
          <w:szCs w:val="24"/>
        </w:rPr>
      </w:pPr>
      <w:r w:rsidRPr="00FB529A">
        <w:rPr>
          <w:b/>
          <w:sz w:val="24"/>
          <w:szCs w:val="24"/>
        </w:rPr>
        <w:t>A ‘who’s who’</w:t>
      </w:r>
    </w:p>
    <w:p w:rsidR="00FB529A" w:rsidRPr="00FB529A" w:rsidRDefault="00FB529A" w:rsidP="004C0E14">
      <w:pPr>
        <w:spacing w:after="0"/>
        <w:rPr>
          <w:sz w:val="24"/>
          <w:szCs w:val="24"/>
        </w:rPr>
      </w:pPr>
      <w:r>
        <w:rPr>
          <w:sz w:val="24"/>
          <w:szCs w:val="24"/>
        </w:rPr>
        <w:t>This could include the clergy of the parish, other employees, and PCC members (the employer)</w:t>
      </w:r>
      <w:r w:rsidR="003A7E45">
        <w:rPr>
          <w:sz w:val="24"/>
          <w:szCs w:val="24"/>
        </w:rPr>
        <w:t>.</w:t>
      </w:r>
    </w:p>
    <w:p w:rsidR="00FB529A" w:rsidRDefault="00FB529A" w:rsidP="004C0E14">
      <w:pPr>
        <w:spacing w:after="0"/>
        <w:rPr>
          <w:sz w:val="24"/>
          <w:szCs w:val="24"/>
        </w:rPr>
      </w:pPr>
    </w:p>
    <w:p w:rsidR="00FB529A" w:rsidRDefault="00FB529A" w:rsidP="004C0E14">
      <w:pPr>
        <w:spacing w:after="0"/>
        <w:rPr>
          <w:b/>
          <w:sz w:val="24"/>
          <w:szCs w:val="24"/>
        </w:rPr>
      </w:pPr>
      <w:r w:rsidRPr="003A7E45">
        <w:rPr>
          <w:b/>
          <w:sz w:val="24"/>
          <w:szCs w:val="24"/>
        </w:rPr>
        <w:t>The parish’s values and mission</w:t>
      </w:r>
    </w:p>
    <w:p w:rsidR="003A7E45" w:rsidRPr="003A7E45" w:rsidRDefault="003A7E45" w:rsidP="004C0E14">
      <w:pPr>
        <w:spacing w:after="0"/>
        <w:rPr>
          <w:sz w:val="24"/>
          <w:szCs w:val="24"/>
        </w:rPr>
      </w:pPr>
      <w:r>
        <w:rPr>
          <w:sz w:val="24"/>
          <w:szCs w:val="24"/>
        </w:rPr>
        <w:t>This is an imp</w:t>
      </w:r>
      <w:r w:rsidR="0089073C">
        <w:rPr>
          <w:sz w:val="24"/>
          <w:szCs w:val="24"/>
        </w:rPr>
        <w:t>ortant part of establishing</w:t>
      </w:r>
      <w:r>
        <w:rPr>
          <w:sz w:val="24"/>
          <w:szCs w:val="24"/>
        </w:rPr>
        <w:t xml:space="preserve"> organisational culture, and an organisation’s goals and mission should feed into their employees’ roles.</w:t>
      </w:r>
    </w:p>
    <w:p w:rsidR="00FB529A" w:rsidRDefault="00FB529A" w:rsidP="004C0E14">
      <w:pPr>
        <w:spacing w:after="0"/>
        <w:rPr>
          <w:sz w:val="24"/>
          <w:szCs w:val="24"/>
        </w:rPr>
      </w:pPr>
    </w:p>
    <w:p w:rsidR="00FB529A" w:rsidRDefault="00FB529A" w:rsidP="004C0E14">
      <w:pPr>
        <w:spacing w:after="0"/>
        <w:rPr>
          <w:b/>
          <w:sz w:val="24"/>
          <w:szCs w:val="24"/>
        </w:rPr>
      </w:pPr>
      <w:r w:rsidRPr="00541E90">
        <w:rPr>
          <w:b/>
          <w:sz w:val="24"/>
          <w:szCs w:val="24"/>
        </w:rPr>
        <w:t>Code of conduct</w:t>
      </w:r>
    </w:p>
    <w:p w:rsidR="00541E90" w:rsidRPr="00541E90" w:rsidRDefault="00EC3BCB" w:rsidP="004C0E14">
      <w:pPr>
        <w:spacing w:after="0"/>
        <w:rPr>
          <w:sz w:val="24"/>
          <w:szCs w:val="24"/>
        </w:rPr>
      </w:pPr>
      <w:r>
        <w:rPr>
          <w:sz w:val="24"/>
          <w:szCs w:val="24"/>
        </w:rPr>
        <w:t>This section might be useful if there is a dress code or policies such as for ethics or a conflict of interest.</w:t>
      </w:r>
    </w:p>
    <w:p w:rsidR="00FB529A" w:rsidRDefault="00FB529A" w:rsidP="004C0E14">
      <w:pPr>
        <w:spacing w:after="0"/>
        <w:rPr>
          <w:sz w:val="24"/>
          <w:szCs w:val="24"/>
        </w:rPr>
      </w:pPr>
    </w:p>
    <w:p w:rsidR="00FB529A" w:rsidRPr="00FB529A" w:rsidRDefault="00FB529A" w:rsidP="004C0E14">
      <w:pPr>
        <w:spacing w:after="0"/>
        <w:rPr>
          <w:b/>
          <w:sz w:val="24"/>
          <w:szCs w:val="24"/>
        </w:rPr>
      </w:pPr>
      <w:r w:rsidRPr="00FB529A">
        <w:rPr>
          <w:b/>
          <w:sz w:val="24"/>
          <w:szCs w:val="24"/>
        </w:rPr>
        <w:t>Policies and procedures</w:t>
      </w:r>
    </w:p>
    <w:p w:rsidR="00FB529A" w:rsidRDefault="00FB529A" w:rsidP="004C0E14">
      <w:pPr>
        <w:spacing w:after="0"/>
        <w:rPr>
          <w:sz w:val="24"/>
          <w:szCs w:val="24"/>
        </w:rPr>
      </w:pPr>
      <w:r>
        <w:rPr>
          <w:sz w:val="24"/>
          <w:szCs w:val="24"/>
        </w:rPr>
        <w:t xml:space="preserve">Some organisations include all </w:t>
      </w:r>
      <w:r w:rsidR="009B2755">
        <w:rPr>
          <w:sz w:val="24"/>
          <w:szCs w:val="24"/>
        </w:rPr>
        <w:t>their</w:t>
      </w:r>
      <w:r>
        <w:rPr>
          <w:sz w:val="24"/>
          <w:szCs w:val="24"/>
        </w:rPr>
        <w:t xml:space="preserve"> policies in full, especially if this is the easiest way to ensure that they are read by employees, while others prefer to include summarised versions of policies and procedures instead.</w:t>
      </w:r>
    </w:p>
    <w:p w:rsidR="00221FF0" w:rsidRDefault="00221FF0" w:rsidP="004C0E14">
      <w:pPr>
        <w:spacing w:after="0"/>
        <w:rPr>
          <w:sz w:val="24"/>
          <w:szCs w:val="24"/>
        </w:rPr>
      </w:pPr>
    </w:p>
    <w:p w:rsidR="00221FF0" w:rsidRDefault="00221FF0" w:rsidP="004C0E14">
      <w:pPr>
        <w:spacing w:after="0"/>
        <w:rPr>
          <w:b/>
          <w:sz w:val="24"/>
          <w:szCs w:val="24"/>
        </w:rPr>
      </w:pPr>
      <w:r>
        <w:rPr>
          <w:b/>
          <w:sz w:val="24"/>
          <w:szCs w:val="24"/>
        </w:rPr>
        <w:t>Forms and guidelines</w:t>
      </w:r>
    </w:p>
    <w:p w:rsidR="00221FF0" w:rsidRDefault="00221FF0" w:rsidP="004C0E14">
      <w:pPr>
        <w:spacing w:after="0"/>
        <w:rPr>
          <w:sz w:val="24"/>
          <w:szCs w:val="24"/>
        </w:rPr>
      </w:pPr>
      <w:r>
        <w:rPr>
          <w:sz w:val="24"/>
          <w:szCs w:val="24"/>
        </w:rPr>
        <w:t>Some employers choose to include this section, where there might be a template for risk assessments, for example, particularly if this is the easiest place for an employee to obtain these documents.</w:t>
      </w:r>
      <w:r w:rsidR="00371C5C">
        <w:rPr>
          <w:sz w:val="24"/>
          <w:szCs w:val="24"/>
        </w:rPr>
        <w:t xml:space="preserve"> It’s also a good idea to set down any emergency procedures</w:t>
      </w:r>
      <w:r w:rsidR="00F05026">
        <w:rPr>
          <w:sz w:val="24"/>
          <w:szCs w:val="24"/>
        </w:rPr>
        <w:t xml:space="preserve"> in place</w:t>
      </w:r>
      <w:r w:rsidR="00371C5C">
        <w:rPr>
          <w:sz w:val="24"/>
          <w:szCs w:val="24"/>
        </w:rPr>
        <w:t>.</w:t>
      </w:r>
    </w:p>
    <w:p w:rsidR="00AE1418" w:rsidRDefault="00AE1418" w:rsidP="004C0E14">
      <w:pPr>
        <w:spacing w:after="0"/>
        <w:rPr>
          <w:sz w:val="24"/>
          <w:szCs w:val="24"/>
        </w:rPr>
      </w:pPr>
    </w:p>
    <w:p w:rsidR="00B643D0" w:rsidRDefault="00B643D0" w:rsidP="004C0E14">
      <w:pPr>
        <w:spacing w:after="0"/>
        <w:rPr>
          <w:b/>
          <w:sz w:val="24"/>
          <w:szCs w:val="24"/>
        </w:rPr>
      </w:pPr>
    </w:p>
    <w:p w:rsidR="00B643D0" w:rsidRDefault="00B643D0" w:rsidP="004C0E14">
      <w:pPr>
        <w:spacing w:after="0"/>
        <w:rPr>
          <w:b/>
          <w:sz w:val="24"/>
          <w:szCs w:val="24"/>
        </w:rPr>
      </w:pPr>
    </w:p>
    <w:p w:rsidR="00AE1418" w:rsidRDefault="00AE1418" w:rsidP="004C0E14">
      <w:pPr>
        <w:spacing w:after="0"/>
        <w:rPr>
          <w:b/>
          <w:sz w:val="24"/>
          <w:szCs w:val="24"/>
        </w:rPr>
      </w:pPr>
      <w:r w:rsidRPr="00AE1418">
        <w:rPr>
          <w:b/>
          <w:sz w:val="24"/>
          <w:szCs w:val="24"/>
        </w:rPr>
        <w:lastRenderedPageBreak/>
        <w:t>Employee rights in the workplace</w:t>
      </w:r>
    </w:p>
    <w:p w:rsidR="00AE1418" w:rsidRPr="00AE1418" w:rsidRDefault="00AE1418" w:rsidP="004C0E14">
      <w:pPr>
        <w:spacing w:after="0"/>
        <w:rPr>
          <w:sz w:val="24"/>
          <w:szCs w:val="24"/>
        </w:rPr>
      </w:pPr>
      <w:r>
        <w:rPr>
          <w:sz w:val="24"/>
          <w:szCs w:val="24"/>
        </w:rPr>
        <w:t>If this section is included, then an employee (who has acknowledged receipt) would not be able to argue that they were not infor</w:t>
      </w:r>
      <w:r w:rsidR="00D034E0">
        <w:rPr>
          <w:sz w:val="24"/>
          <w:szCs w:val="24"/>
        </w:rPr>
        <w:t>med of their workplace rights. Amongst other things, t</w:t>
      </w:r>
      <w:r>
        <w:rPr>
          <w:sz w:val="24"/>
          <w:szCs w:val="24"/>
        </w:rPr>
        <w:t>his could include health and safety rights, frequency of breaks, and employee benefits.</w:t>
      </w:r>
    </w:p>
    <w:p w:rsidR="005D3B47" w:rsidRDefault="005D3B47" w:rsidP="004C0E14">
      <w:pPr>
        <w:spacing w:after="0"/>
        <w:rPr>
          <w:sz w:val="24"/>
          <w:szCs w:val="24"/>
        </w:rPr>
      </w:pPr>
    </w:p>
    <w:p w:rsidR="005D3B47" w:rsidRDefault="005D3B47" w:rsidP="004C0E14">
      <w:pPr>
        <w:spacing w:after="0"/>
        <w:rPr>
          <w:b/>
          <w:sz w:val="24"/>
          <w:szCs w:val="24"/>
        </w:rPr>
      </w:pPr>
      <w:r>
        <w:rPr>
          <w:b/>
          <w:sz w:val="24"/>
          <w:szCs w:val="24"/>
        </w:rPr>
        <w:t>Benefits</w:t>
      </w:r>
    </w:p>
    <w:p w:rsidR="005D3B47" w:rsidRPr="005D3B47" w:rsidRDefault="005D3B47" w:rsidP="004C0E14">
      <w:pPr>
        <w:spacing w:after="0"/>
        <w:rPr>
          <w:sz w:val="24"/>
          <w:szCs w:val="24"/>
        </w:rPr>
      </w:pPr>
      <w:r>
        <w:rPr>
          <w:sz w:val="24"/>
          <w:szCs w:val="24"/>
        </w:rPr>
        <w:t xml:space="preserve">Information about any benefits such as a pension </w:t>
      </w:r>
      <w:r w:rsidR="00926A51">
        <w:rPr>
          <w:sz w:val="24"/>
          <w:szCs w:val="24"/>
        </w:rPr>
        <w:t>scheme,</w:t>
      </w:r>
      <w:r>
        <w:rPr>
          <w:sz w:val="24"/>
          <w:szCs w:val="24"/>
        </w:rPr>
        <w:t xml:space="preserve"> employee assistance pr</w:t>
      </w:r>
      <w:r w:rsidR="00926A51">
        <w:rPr>
          <w:sz w:val="24"/>
          <w:szCs w:val="24"/>
        </w:rPr>
        <w:t>ogrammes could be included here, different types of leave, and training.</w:t>
      </w:r>
    </w:p>
    <w:p w:rsidR="00FB529A" w:rsidRDefault="00FB529A" w:rsidP="004C0E14">
      <w:pPr>
        <w:spacing w:after="0"/>
        <w:rPr>
          <w:sz w:val="24"/>
          <w:szCs w:val="24"/>
        </w:rPr>
      </w:pPr>
    </w:p>
    <w:p w:rsidR="00D74B82" w:rsidRPr="00D74B82" w:rsidRDefault="00D74B82" w:rsidP="007F189D">
      <w:pPr>
        <w:spacing w:after="0"/>
        <w:rPr>
          <w:sz w:val="24"/>
          <w:szCs w:val="24"/>
        </w:rPr>
      </w:pPr>
      <w:r w:rsidRPr="00D74B82">
        <w:rPr>
          <w:sz w:val="24"/>
          <w:szCs w:val="24"/>
        </w:rPr>
        <w:t>Extra pointers:</w:t>
      </w:r>
    </w:p>
    <w:p w:rsidR="00E46FC8" w:rsidRPr="00D74B82" w:rsidRDefault="007F189D" w:rsidP="007F189D">
      <w:pPr>
        <w:pStyle w:val="ListParagraph"/>
        <w:numPr>
          <w:ilvl w:val="0"/>
          <w:numId w:val="2"/>
        </w:numPr>
        <w:spacing w:after="0"/>
        <w:rPr>
          <w:b/>
          <w:sz w:val="24"/>
          <w:szCs w:val="24"/>
        </w:rPr>
      </w:pPr>
      <w:r w:rsidRPr="00D74B82">
        <w:rPr>
          <w:sz w:val="24"/>
          <w:szCs w:val="24"/>
        </w:rPr>
        <w:t>Acknowledgement of receipt</w:t>
      </w:r>
      <w:r w:rsidR="00D74B82">
        <w:rPr>
          <w:sz w:val="24"/>
          <w:szCs w:val="24"/>
        </w:rPr>
        <w:t xml:space="preserve"> – i</w:t>
      </w:r>
      <w:r w:rsidR="00E46FC8" w:rsidRPr="00D74B82">
        <w:rPr>
          <w:sz w:val="24"/>
          <w:szCs w:val="24"/>
        </w:rPr>
        <w:t xml:space="preserve">t is best to have written acknowledgement that the employee has received </w:t>
      </w:r>
      <w:r w:rsidR="00E708E8">
        <w:rPr>
          <w:sz w:val="24"/>
          <w:szCs w:val="24"/>
        </w:rPr>
        <w:t>the handbook, to protect the PCC against potential claims that the employee was unaware of any relevant information.</w:t>
      </w:r>
    </w:p>
    <w:p w:rsidR="00D74B82" w:rsidRPr="0003192E" w:rsidRDefault="00D36FB5" w:rsidP="007F189D">
      <w:pPr>
        <w:pStyle w:val="ListParagraph"/>
        <w:numPr>
          <w:ilvl w:val="0"/>
          <w:numId w:val="2"/>
        </w:numPr>
        <w:spacing w:after="0"/>
        <w:rPr>
          <w:b/>
          <w:sz w:val="24"/>
          <w:szCs w:val="24"/>
        </w:rPr>
      </w:pPr>
      <w:r>
        <w:rPr>
          <w:sz w:val="24"/>
          <w:szCs w:val="24"/>
        </w:rPr>
        <w:t xml:space="preserve">Disclaimer – </w:t>
      </w:r>
      <w:r w:rsidR="00E708E8">
        <w:rPr>
          <w:sz w:val="24"/>
          <w:szCs w:val="24"/>
        </w:rPr>
        <w:t>it should be made</w:t>
      </w:r>
      <w:r w:rsidR="000D1071">
        <w:rPr>
          <w:sz w:val="24"/>
          <w:szCs w:val="24"/>
        </w:rPr>
        <w:t xml:space="preserve"> explicit that the handbook, and the policies, are not contractual, and that the employer may review the policies from time to time (if contractual, they would not be able to be changed without consulting the employees).</w:t>
      </w:r>
    </w:p>
    <w:p w:rsidR="0003192E" w:rsidRPr="00AF0E37" w:rsidRDefault="00AF0E37" w:rsidP="007F189D">
      <w:pPr>
        <w:pStyle w:val="ListParagraph"/>
        <w:numPr>
          <w:ilvl w:val="0"/>
          <w:numId w:val="2"/>
        </w:numPr>
        <w:spacing w:after="0"/>
        <w:rPr>
          <w:b/>
          <w:sz w:val="24"/>
          <w:szCs w:val="24"/>
        </w:rPr>
      </w:pPr>
      <w:r>
        <w:rPr>
          <w:sz w:val="24"/>
          <w:szCs w:val="24"/>
        </w:rPr>
        <w:t>Review – t</w:t>
      </w:r>
      <w:r w:rsidR="0003192E">
        <w:rPr>
          <w:sz w:val="24"/>
          <w:szCs w:val="24"/>
        </w:rPr>
        <w:t>he handbook, and policies, should be regularly reviewed</w:t>
      </w:r>
      <w:r w:rsidR="002F57D9">
        <w:rPr>
          <w:sz w:val="24"/>
          <w:szCs w:val="24"/>
        </w:rPr>
        <w:t xml:space="preserve"> and updated accordingly</w:t>
      </w:r>
      <w:r w:rsidR="0003192E">
        <w:rPr>
          <w:sz w:val="24"/>
          <w:szCs w:val="24"/>
        </w:rPr>
        <w:t>. A suggested timeframe for this is every two years.</w:t>
      </w:r>
    </w:p>
    <w:p w:rsidR="00AF0E37" w:rsidRPr="00D74B82" w:rsidRDefault="00AF0E37" w:rsidP="007F189D">
      <w:pPr>
        <w:pStyle w:val="ListParagraph"/>
        <w:numPr>
          <w:ilvl w:val="0"/>
          <w:numId w:val="2"/>
        </w:numPr>
        <w:spacing w:after="0"/>
        <w:rPr>
          <w:b/>
          <w:sz w:val="24"/>
          <w:szCs w:val="24"/>
        </w:rPr>
      </w:pPr>
      <w:r>
        <w:rPr>
          <w:sz w:val="24"/>
          <w:szCs w:val="24"/>
        </w:rPr>
        <w:t xml:space="preserve">Accessibility – this is a document that you want all employees to </w:t>
      </w:r>
      <w:r w:rsidR="00E242B4">
        <w:rPr>
          <w:sz w:val="24"/>
          <w:szCs w:val="24"/>
        </w:rPr>
        <w:t>be able</w:t>
      </w:r>
      <w:r w:rsidR="00701BB3">
        <w:rPr>
          <w:sz w:val="24"/>
          <w:szCs w:val="24"/>
        </w:rPr>
        <w:t xml:space="preserve"> to</w:t>
      </w:r>
      <w:r w:rsidR="00E242B4">
        <w:rPr>
          <w:sz w:val="24"/>
          <w:szCs w:val="24"/>
        </w:rPr>
        <w:t xml:space="preserve"> </w:t>
      </w:r>
      <w:r>
        <w:rPr>
          <w:sz w:val="24"/>
          <w:szCs w:val="24"/>
        </w:rPr>
        <w:t>read and digest. Make sure that</w:t>
      </w:r>
      <w:r w:rsidR="00E242B4">
        <w:rPr>
          <w:sz w:val="24"/>
          <w:szCs w:val="24"/>
        </w:rPr>
        <w:t xml:space="preserve"> the presentation is accessible and</w:t>
      </w:r>
      <w:r>
        <w:rPr>
          <w:sz w:val="24"/>
          <w:szCs w:val="24"/>
        </w:rPr>
        <w:t xml:space="preserve"> </w:t>
      </w:r>
      <w:r w:rsidR="00D55EC3">
        <w:rPr>
          <w:sz w:val="24"/>
          <w:szCs w:val="24"/>
        </w:rPr>
        <w:t xml:space="preserve">that the </w:t>
      </w:r>
      <w:r w:rsidR="00E242B4">
        <w:rPr>
          <w:sz w:val="24"/>
          <w:szCs w:val="24"/>
        </w:rPr>
        <w:t>language is easy to understand. U</w:t>
      </w:r>
      <w:r>
        <w:rPr>
          <w:sz w:val="24"/>
          <w:szCs w:val="24"/>
        </w:rPr>
        <w:t>sing pictures and colour can make the handbook</w:t>
      </w:r>
      <w:r w:rsidR="008D4AFB">
        <w:rPr>
          <w:sz w:val="24"/>
          <w:szCs w:val="24"/>
        </w:rPr>
        <w:t xml:space="preserve"> seem</w:t>
      </w:r>
      <w:r>
        <w:rPr>
          <w:sz w:val="24"/>
          <w:szCs w:val="24"/>
        </w:rPr>
        <w:t xml:space="preserve"> </w:t>
      </w:r>
      <w:r w:rsidR="008D4AFB">
        <w:rPr>
          <w:sz w:val="24"/>
          <w:szCs w:val="24"/>
        </w:rPr>
        <w:t>‘</w:t>
      </w:r>
      <w:r>
        <w:rPr>
          <w:sz w:val="24"/>
          <w:szCs w:val="24"/>
        </w:rPr>
        <w:t>friendlier</w:t>
      </w:r>
      <w:r w:rsidR="008D4AFB">
        <w:rPr>
          <w:sz w:val="24"/>
          <w:szCs w:val="24"/>
        </w:rPr>
        <w:t>’</w:t>
      </w:r>
      <w:bookmarkStart w:id="0" w:name="_GoBack"/>
      <w:bookmarkEnd w:id="0"/>
      <w:r>
        <w:rPr>
          <w:sz w:val="24"/>
          <w:szCs w:val="24"/>
        </w:rPr>
        <w:t>.</w:t>
      </w:r>
    </w:p>
    <w:sectPr w:rsidR="00AF0E37" w:rsidRPr="00D74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25152"/>
    <w:multiLevelType w:val="hybridMultilevel"/>
    <w:tmpl w:val="07E2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870B6C"/>
    <w:multiLevelType w:val="hybridMultilevel"/>
    <w:tmpl w:val="A05E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14"/>
    <w:rsid w:val="0003192E"/>
    <w:rsid w:val="00080982"/>
    <w:rsid w:val="000D1071"/>
    <w:rsid w:val="00221FF0"/>
    <w:rsid w:val="002F57D9"/>
    <w:rsid w:val="00343792"/>
    <w:rsid w:val="00371C5C"/>
    <w:rsid w:val="003A7E45"/>
    <w:rsid w:val="00487ADA"/>
    <w:rsid w:val="004C0E14"/>
    <w:rsid w:val="00541E90"/>
    <w:rsid w:val="005578F9"/>
    <w:rsid w:val="005D3B47"/>
    <w:rsid w:val="00701BB3"/>
    <w:rsid w:val="007E67F3"/>
    <w:rsid w:val="007F189D"/>
    <w:rsid w:val="0089073C"/>
    <w:rsid w:val="0089242B"/>
    <w:rsid w:val="008B6B80"/>
    <w:rsid w:val="008D4AFB"/>
    <w:rsid w:val="00926A51"/>
    <w:rsid w:val="009B2755"/>
    <w:rsid w:val="00A87059"/>
    <w:rsid w:val="00AE1418"/>
    <w:rsid w:val="00AF0E37"/>
    <w:rsid w:val="00B45C27"/>
    <w:rsid w:val="00B643D0"/>
    <w:rsid w:val="00D02C0D"/>
    <w:rsid w:val="00D034E0"/>
    <w:rsid w:val="00D36FB5"/>
    <w:rsid w:val="00D55EC3"/>
    <w:rsid w:val="00D74B82"/>
    <w:rsid w:val="00E242B4"/>
    <w:rsid w:val="00E46FC8"/>
    <w:rsid w:val="00E708E8"/>
    <w:rsid w:val="00EC3BCB"/>
    <w:rsid w:val="00EE487C"/>
    <w:rsid w:val="00F05026"/>
    <w:rsid w:val="00FB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9088"/>
  <w15:chartTrackingRefBased/>
  <w15:docId w15:val="{F9F3E10F-3BAE-431D-AFC1-7313D60D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lo Polito</dc:creator>
  <cp:keywords/>
  <dc:description/>
  <cp:lastModifiedBy>Sara lo Polito</cp:lastModifiedBy>
  <cp:revision>40</cp:revision>
  <dcterms:created xsi:type="dcterms:W3CDTF">2023-07-11T14:29:00Z</dcterms:created>
  <dcterms:modified xsi:type="dcterms:W3CDTF">2023-07-11T15:11:00Z</dcterms:modified>
</cp:coreProperties>
</file>