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70" w:rsidRPr="002872BE" w:rsidRDefault="00617470" w:rsidP="002872BE">
      <w:pPr>
        <w:pStyle w:val="BodyText"/>
        <w:rPr>
          <w:rFonts w:asciiTheme="minorHAnsi" w:hAnsiTheme="minorHAnsi"/>
          <w:sz w:val="20"/>
        </w:rPr>
      </w:pPr>
      <w:bookmarkStart w:id="0" w:name="_GoBack"/>
      <w:bookmarkEnd w:id="0"/>
    </w:p>
    <w:p w:rsidR="00617470" w:rsidRPr="002872BE" w:rsidRDefault="00617470" w:rsidP="002872BE">
      <w:pPr>
        <w:pStyle w:val="BodyText"/>
        <w:rPr>
          <w:rFonts w:asciiTheme="minorHAnsi" w:hAnsiTheme="minorHAnsi"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sz w:val="20"/>
        </w:rPr>
      </w:pPr>
    </w:p>
    <w:p w:rsidR="00617470" w:rsidRPr="002872BE" w:rsidRDefault="002872BE" w:rsidP="002872BE">
      <w:pPr>
        <w:pStyle w:val="BodyText"/>
        <w:jc w:val="center"/>
        <w:rPr>
          <w:rFonts w:asciiTheme="minorHAnsi" w:hAnsiTheme="minorHAnsi"/>
          <w:sz w:val="15"/>
        </w:rPr>
      </w:pPr>
      <w:r w:rsidRPr="00790F7A">
        <w:rPr>
          <w:rFonts w:asciiTheme="minorHAnsi" w:hAnsiTheme="minorHAnsi" w:cstheme="minorHAnsi"/>
          <w:noProof/>
          <w:sz w:val="20"/>
          <w:lang w:bidi="ar-SA"/>
        </w:rPr>
        <w:drawing>
          <wp:inline distT="0" distB="0" distL="0" distR="0" wp14:anchorId="22595B8C" wp14:editId="5919D6E2">
            <wp:extent cx="2666167" cy="1183814"/>
            <wp:effectExtent l="0" t="0" r="1270" b="0"/>
            <wp:docPr id="6" name="Picture 6" descr="\\DL-FS01\RedirectFolders$\jill.marsh\Desktop\Le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ill.marsh\Desktop\Le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61" cy="11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BE" w:rsidRDefault="002872BE" w:rsidP="002872BE">
      <w:pPr>
        <w:rPr>
          <w:rFonts w:asciiTheme="minorHAnsi" w:hAnsiTheme="minorHAnsi"/>
          <w:b/>
          <w:color w:val="2E5395"/>
          <w:sz w:val="40"/>
        </w:rPr>
      </w:pPr>
    </w:p>
    <w:p w:rsidR="002872BE" w:rsidRDefault="002872BE" w:rsidP="002872BE">
      <w:pPr>
        <w:rPr>
          <w:rFonts w:asciiTheme="minorHAnsi" w:hAnsiTheme="minorHAnsi"/>
          <w:b/>
          <w:color w:val="2E5395"/>
          <w:sz w:val="40"/>
        </w:rPr>
      </w:pPr>
    </w:p>
    <w:p w:rsidR="0069662E" w:rsidRDefault="0069662E" w:rsidP="002872BE">
      <w:pPr>
        <w:rPr>
          <w:rFonts w:asciiTheme="minorHAnsi" w:hAnsiTheme="minorHAnsi"/>
          <w:b/>
          <w:color w:val="2E5395"/>
          <w:sz w:val="40"/>
        </w:rPr>
      </w:pPr>
    </w:p>
    <w:p w:rsidR="002872BE" w:rsidRDefault="002872BE" w:rsidP="002872BE">
      <w:pPr>
        <w:rPr>
          <w:rFonts w:asciiTheme="minorHAnsi" w:hAnsiTheme="minorHAnsi"/>
          <w:b/>
          <w:color w:val="2E5395"/>
          <w:sz w:val="40"/>
        </w:rPr>
      </w:pPr>
    </w:p>
    <w:p w:rsidR="00617470" w:rsidRPr="002872BE" w:rsidRDefault="00A76926" w:rsidP="002872BE">
      <w:pPr>
        <w:spacing w:line="360" w:lineRule="auto"/>
        <w:jc w:val="center"/>
        <w:rPr>
          <w:rFonts w:asciiTheme="minorHAnsi" w:hAnsiTheme="minorHAnsi"/>
          <w:b/>
          <w:sz w:val="48"/>
        </w:rPr>
      </w:pPr>
      <w:r w:rsidRPr="002872BE">
        <w:rPr>
          <w:rFonts w:asciiTheme="minorHAnsi" w:hAnsiTheme="minorHAnsi"/>
          <w:b/>
          <w:sz w:val="48"/>
        </w:rPr>
        <w:t>Guidance for PCCs:</w:t>
      </w:r>
    </w:p>
    <w:p w:rsidR="002872BE" w:rsidRPr="002872BE" w:rsidRDefault="00A76926" w:rsidP="002872BE">
      <w:pPr>
        <w:spacing w:line="360" w:lineRule="auto"/>
        <w:ind w:right="2"/>
        <w:jc w:val="center"/>
        <w:rPr>
          <w:rFonts w:asciiTheme="minorHAnsi" w:hAnsiTheme="minorHAnsi"/>
          <w:b/>
          <w:sz w:val="48"/>
        </w:rPr>
      </w:pPr>
      <w:r w:rsidRPr="002872BE">
        <w:rPr>
          <w:rFonts w:asciiTheme="minorHAnsi" w:hAnsiTheme="minorHAnsi"/>
          <w:b/>
          <w:sz w:val="48"/>
        </w:rPr>
        <w:t xml:space="preserve">Reporting </w:t>
      </w:r>
      <w:r w:rsidRPr="002872BE">
        <w:rPr>
          <w:rFonts w:asciiTheme="minorHAnsi" w:hAnsiTheme="minorHAnsi"/>
          <w:b/>
          <w:sz w:val="48"/>
          <w:u w:val="thick" w:color="2E5395"/>
        </w:rPr>
        <w:t>non</w:t>
      </w:r>
      <w:r w:rsidRPr="0069662E">
        <w:rPr>
          <w:rFonts w:asciiTheme="minorHAnsi" w:hAnsiTheme="minorHAnsi"/>
          <w:b/>
          <w:sz w:val="48"/>
        </w:rPr>
        <w:t>-</w:t>
      </w:r>
      <w:r w:rsidRPr="002872BE">
        <w:rPr>
          <w:rFonts w:asciiTheme="minorHAnsi" w:hAnsiTheme="minorHAnsi"/>
          <w:b/>
          <w:sz w:val="48"/>
        </w:rPr>
        <w:t xml:space="preserve">safeguarding Serious Incidents </w:t>
      </w:r>
    </w:p>
    <w:p w:rsidR="00617470" w:rsidRPr="002872BE" w:rsidRDefault="00A76926" w:rsidP="002872BE">
      <w:pPr>
        <w:spacing w:line="360" w:lineRule="auto"/>
        <w:ind w:right="307"/>
        <w:jc w:val="center"/>
        <w:rPr>
          <w:rFonts w:asciiTheme="minorHAnsi" w:hAnsiTheme="minorHAnsi"/>
          <w:b/>
          <w:sz w:val="48"/>
        </w:rPr>
      </w:pPr>
      <w:proofErr w:type="gramStart"/>
      <w:r w:rsidRPr="002872BE">
        <w:rPr>
          <w:rFonts w:asciiTheme="minorHAnsi" w:hAnsiTheme="minorHAnsi"/>
          <w:b/>
          <w:sz w:val="48"/>
        </w:rPr>
        <w:t>to</w:t>
      </w:r>
      <w:proofErr w:type="gramEnd"/>
      <w:r w:rsidRPr="002872BE">
        <w:rPr>
          <w:rFonts w:asciiTheme="minorHAnsi" w:hAnsiTheme="minorHAnsi"/>
          <w:b/>
          <w:sz w:val="48"/>
        </w:rPr>
        <w:t xml:space="preserve"> the Charity Commission</w:t>
      </w: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2872BE" w:rsidRDefault="00617470" w:rsidP="002872BE">
      <w:pPr>
        <w:pStyle w:val="BodyText"/>
        <w:rPr>
          <w:rFonts w:asciiTheme="minorHAnsi" w:hAnsiTheme="minorHAnsi"/>
          <w:b/>
          <w:sz w:val="20"/>
        </w:rPr>
      </w:pPr>
    </w:p>
    <w:p w:rsidR="00617470" w:rsidRPr="0069662E" w:rsidRDefault="00A76926" w:rsidP="0069662E">
      <w:pPr>
        <w:jc w:val="both"/>
        <w:rPr>
          <w:rFonts w:asciiTheme="minorHAnsi" w:hAnsiTheme="minorHAnsi"/>
          <w:b/>
          <w:sz w:val="26"/>
        </w:rPr>
      </w:pPr>
      <w:r w:rsidRPr="0069662E">
        <w:rPr>
          <w:rFonts w:asciiTheme="minorHAnsi" w:hAnsiTheme="minorHAnsi"/>
          <w:b/>
          <w:sz w:val="26"/>
        </w:rPr>
        <w:lastRenderedPageBreak/>
        <w:t>Introduction</w:t>
      </w:r>
    </w:p>
    <w:p w:rsidR="001C643F" w:rsidRPr="00192A4D" w:rsidRDefault="001C643F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 xml:space="preserve">A Serious Incident is an adverse event, whether actual or alleged, which results in or risks significant </w:t>
      </w:r>
      <w:r w:rsidR="008A04D7" w:rsidRPr="00192A4D">
        <w:rPr>
          <w:rFonts w:asciiTheme="minorHAnsi" w:hAnsiTheme="minorHAnsi"/>
          <w:sz w:val="24"/>
          <w:szCs w:val="24"/>
        </w:rPr>
        <w:t>harm to the PCC’s</w:t>
      </w:r>
      <w:r w:rsidRPr="00192A4D">
        <w:rPr>
          <w:rFonts w:asciiTheme="minorHAnsi" w:hAnsiTheme="minorHAnsi"/>
          <w:sz w:val="24"/>
          <w:szCs w:val="24"/>
        </w:rPr>
        <w:t>, employees, office holders, volunteers or to others who co</w:t>
      </w:r>
      <w:r w:rsidR="008A04D7" w:rsidRPr="00192A4D">
        <w:rPr>
          <w:rFonts w:asciiTheme="minorHAnsi" w:hAnsiTheme="minorHAnsi"/>
          <w:sz w:val="24"/>
          <w:szCs w:val="24"/>
        </w:rPr>
        <w:t>me into contact with the church</w:t>
      </w:r>
      <w:r w:rsidRPr="00192A4D">
        <w:rPr>
          <w:rFonts w:asciiTheme="minorHAnsi" w:hAnsiTheme="minorHAnsi"/>
          <w:sz w:val="24"/>
          <w:szCs w:val="24"/>
        </w:rPr>
        <w:t xml:space="preserve"> through</w:t>
      </w:r>
      <w:r w:rsidR="008A04D7" w:rsidRPr="00192A4D">
        <w:rPr>
          <w:rFonts w:asciiTheme="minorHAnsi" w:hAnsiTheme="minorHAnsi"/>
          <w:sz w:val="24"/>
          <w:szCs w:val="24"/>
        </w:rPr>
        <w:t xml:space="preserve"> its work, loss of the PCC’s</w:t>
      </w:r>
      <w:r w:rsidRPr="00192A4D">
        <w:rPr>
          <w:rFonts w:asciiTheme="minorHAnsi" w:hAnsiTheme="minorHAnsi"/>
          <w:sz w:val="24"/>
          <w:szCs w:val="24"/>
        </w:rPr>
        <w:t xml:space="preserve"> money or asse</w:t>
      </w:r>
      <w:r w:rsidR="008A04D7" w:rsidRPr="00192A4D">
        <w:rPr>
          <w:rFonts w:asciiTheme="minorHAnsi" w:hAnsiTheme="minorHAnsi"/>
          <w:sz w:val="24"/>
          <w:szCs w:val="24"/>
        </w:rPr>
        <w:t>ts, damage to the PCC’s property or harm to the PCC/church</w:t>
      </w:r>
      <w:r w:rsidRPr="00192A4D">
        <w:rPr>
          <w:rFonts w:asciiTheme="minorHAnsi" w:hAnsiTheme="minorHAnsi"/>
          <w:sz w:val="24"/>
          <w:szCs w:val="24"/>
        </w:rPr>
        <w:t xml:space="preserve">’s work or reputation. </w:t>
      </w:r>
    </w:p>
    <w:p w:rsidR="000A3691" w:rsidRPr="00192A4D" w:rsidRDefault="000A3691" w:rsidP="0069662E">
      <w:pPr>
        <w:jc w:val="both"/>
        <w:rPr>
          <w:rFonts w:asciiTheme="minorHAnsi" w:hAnsiTheme="minorHAnsi"/>
          <w:sz w:val="24"/>
          <w:szCs w:val="24"/>
        </w:rPr>
      </w:pPr>
    </w:p>
    <w:p w:rsidR="00192A4D" w:rsidRDefault="00A76926" w:rsidP="00192A4D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 xml:space="preserve">This guidance does not cover safeguarding Serious Incidents. Specific guidance on how to report safeguarding Serious Incidents can be accessed </w:t>
      </w:r>
      <w:r w:rsidR="00280B18">
        <w:rPr>
          <w:rFonts w:asciiTheme="minorHAnsi" w:hAnsiTheme="minorHAnsi"/>
          <w:sz w:val="24"/>
          <w:szCs w:val="24"/>
        </w:rPr>
        <w:t>at:</w:t>
      </w:r>
    </w:p>
    <w:p w:rsidR="00280B18" w:rsidRPr="00192A4D" w:rsidRDefault="00C0081F" w:rsidP="00192A4D">
      <w:pPr>
        <w:jc w:val="both"/>
        <w:rPr>
          <w:rFonts w:asciiTheme="minorHAnsi" w:hAnsiTheme="minorHAnsi"/>
          <w:sz w:val="24"/>
          <w:szCs w:val="24"/>
        </w:rPr>
      </w:pPr>
      <w:hyperlink r:id="rId9" w:history="1">
        <w:r w:rsidR="00280B18" w:rsidRPr="005E300B">
          <w:rPr>
            <w:rStyle w:val="Hyperlink"/>
            <w:rFonts w:asciiTheme="minorHAnsi" w:hAnsiTheme="minorHAnsi"/>
            <w:sz w:val="24"/>
            <w:szCs w:val="24"/>
          </w:rPr>
          <w:t>https://www.churchofengland.org/sites/default/files/2019-07/Safeguarding%20SIR%20Guidance%20REVISED%201%20August%202019.pdf</w:t>
        </w:r>
      </w:hyperlink>
      <w:r w:rsidR="00280B18">
        <w:rPr>
          <w:rFonts w:asciiTheme="minorHAnsi" w:hAnsiTheme="minorHAnsi"/>
          <w:sz w:val="24"/>
          <w:szCs w:val="24"/>
        </w:rPr>
        <w:t xml:space="preserve"> </w:t>
      </w:r>
    </w:p>
    <w:p w:rsidR="000A3691" w:rsidRPr="00192A4D" w:rsidRDefault="000A3691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This guidance explains how to identify when a non-safeguarding Serious Incident has occurred and provides guidance on how you should report it to the Charity Commission.</w:t>
      </w:r>
    </w:p>
    <w:p w:rsidR="008A04D7" w:rsidRPr="00192A4D" w:rsidRDefault="008A04D7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69662E" w:rsidP="0069662E">
      <w:pPr>
        <w:tabs>
          <w:tab w:val="left" w:pos="567"/>
        </w:tabs>
        <w:jc w:val="both"/>
        <w:rPr>
          <w:rFonts w:asciiTheme="minorHAnsi" w:hAnsiTheme="minorHAnsi"/>
          <w:b/>
          <w:color w:val="051FBB"/>
          <w:sz w:val="24"/>
          <w:szCs w:val="24"/>
        </w:rPr>
      </w:pPr>
      <w:r w:rsidRPr="00192A4D">
        <w:rPr>
          <w:rFonts w:asciiTheme="minorHAnsi" w:hAnsiTheme="minorHAnsi"/>
          <w:b/>
          <w:color w:val="051FBB"/>
          <w:sz w:val="24"/>
          <w:szCs w:val="24"/>
        </w:rPr>
        <w:t>1.</w:t>
      </w:r>
      <w:r w:rsidRPr="00192A4D">
        <w:rPr>
          <w:rFonts w:asciiTheme="minorHAnsi" w:hAnsiTheme="minorHAnsi"/>
          <w:b/>
          <w:color w:val="051FBB"/>
          <w:sz w:val="24"/>
          <w:szCs w:val="24"/>
        </w:rPr>
        <w:tab/>
      </w:r>
      <w:r w:rsidR="00A76926" w:rsidRPr="00192A4D">
        <w:rPr>
          <w:rFonts w:asciiTheme="minorHAnsi" w:hAnsiTheme="minorHAnsi"/>
          <w:b/>
          <w:color w:val="051FBB"/>
          <w:sz w:val="24"/>
          <w:szCs w:val="24"/>
        </w:rPr>
        <w:t>What is a “Serious Incident”?</w:t>
      </w:r>
    </w:p>
    <w:p w:rsidR="000A3691" w:rsidRPr="00192A4D" w:rsidRDefault="000A3691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An incident is a Serious Incident if it results in, or risks, signifi</w:t>
      </w:r>
      <w:r w:rsidR="008A04D7" w:rsidRPr="00192A4D">
        <w:rPr>
          <w:rFonts w:asciiTheme="minorHAnsi" w:hAnsiTheme="minorHAnsi"/>
          <w:sz w:val="24"/>
          <w:szCs w:val="24"/>
        </w:rPr>
        <w:t>cant financial loss to a PCC</w:t>
      </w:r>
      <w:r w:rsidRPr="00192A4D">
        <w:rPr>
          <w:rFonts w:asciiTheme="minorHAnsi" w:hAnsiTheme="minorHAnsi"/>
          <w:sz w:val="24"/>
          <w:szCs w:val="24"/>
        </w:rPr>
        <w:t xml:space="preserve">, damage to a </w:t>
      </w:r>
      <w:r w:rsidR="008A04D7" w:rsidRPr="00192A4D">
        <w:rPr>
          <w:rFonts w:asciiTheme="minorHAnsi" w:hAnsiTheme="minorHAnsi"/>
          <w:sz w:val="24"/>
          <w:szCs w:val="24"/>
        </w:rPr>
        <w:t>PCC</w:t>
      </w:r>
      <w:r w:rsidRPr="00192A4D">
        <w:rPr>
          <w:rFonts w:asciiTheme="minorHAnsi" w:hAnsiTheme="minorHAnsi"/>
          <w:sz w:val="24"/>
          <w:szCs w:val="24"/>
        </w:rPr>
        <w:t xml:space="preserve">’s property or harm to a </w:t>
      </w:r>
      <w:r w:rsidR="008A04D7" w:rsidRPr="00192A4D">
        <w:rPr>
          <w:rFonts w:asciiTheme="minorHAnsi" w:hAnsiTheme="minorHAnsi"/>
          <w:sz w:val="24"/>
          <w:szCs w:val="24"/>
        </w:rPr>
        <w:t>PCC</w:t>
      </w:r>
      <w:r w:rsidRPr="00192A4D">
        <w:rPr>
          <w:rFonts w:asciiTheme="minorHAnsi" w:hAnsiTheme="minorHAnsi"/>
          <w:sz w:val="24"/>
          <w:szCs w:val="24"/>
        </w:rPr>
        <w:t>’s work, beneficiaries or to its reputation. Examples include fraud, cyber-crime, theft, significant financial loss, a data protection breach, links to terrorism or extremism, unverifiable or suspicious donations and other significant incidents.</w:t>
      </w:r>
    </w:p>
    <w:p w:rsidR="000A3691" w:rsidRPr="00192A4D" w:rsidRDefault="000A3691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 xml:space="preserve">A </w:t>
      </w:r>
      <w:r w:rsidR="008A04D7" w:rsidRPr="00192A4D">
        <w:rPr>
          <w:rFonts w:asciiTheme="minorHAnsi" w:hAnsiTheme="minorHAnsi"/>
          <w:sz w:val="24"/>
          <w:szCs w:val="24"/>
        </w:rPr>
        <w:t>PCC</w:t>
      </w:r>
      <w:r w:rsidRPr="00192A4D">
        <w:rPr>
          <w:rFonts w:asciiTheme="minorHAnsi" w:hAnsiTheme="minorHAnsi"/>
          <w:sz w:val="24"/>
          <w:szCs w:val="24"/>
        </w:rPr>
        <w:t xml:space="preserve"> must report Serious Incidents that involve its beneficiaries, as well as those who come into contact with the </w:t>
      </w:r>
      <w:r w:rsidR="008A04D7" w:rsidRPr="00192A4D">
        <w:rPr>
          <w:rFonts w:asciiTheme="minorHAnsi" w:hAnsiTheme="minorHAnsi"/>
          <w:sz w:val="24"/>
          <w:szCs w:val="24"/>
        </w:rPr>
        <w:t>PCC</w:t>
      </w:r>
      <w:r w:rsidRPr="00192A4D">
        <w:rPr>
          <w:rFonts w:asciiTheme="minorHAnsi" w:hAnsiTheme="minorHAnsi"/>
          <w:sz w:val="24"/>
          <w:szCs w:val="24"/>
        </w:rPr>
        <w:t xml:space="preserve"> through its work, including office holders, employees and volunteers.</w:t>
      </w:r>
    </w:p>
    <w:p w:rsidR="000A3691" w:rsidRPr="00192A4D" w:rsidRDefault="000A3691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 xml:space="preserve">Any incident which is connected with the activities of the </w:t>
      </w:r>
      <w:r w:rsidR="008A04D7" w:rsidRPr="00192A4D">
        <w:rPr>
          <w:rFonts w:asciiTheme="minorHAnsi" w:hAnsiTheme="minorHAnsi"/>
          <w:sz w:val="24"/>
          <w:szCs w:val="24"/>
        </w:rPr>
        <w:t>PCC</w:t>
      </w:r>
      <w:r w:rsidRPr="00192A4D">
        <w:rPr>
          <w:rFonts w:asciiTheme="minorHAnsi" w:hAnsiTheme="minorHAnsi"/>
          <w:sz w:val="24"/>
          <w:szCs w:val="24"/>
        </w:rPr>
        <w:t xml:space="preserve"> and involves actual or alleged criminal activity should always be reported as a Serious Incident to the police, Action Fraud or the NCA and to the </w:t>
      </w:r>
      <w:r w:rsidR="008A04D7" w:rsidRPr="00192A4D">
        <w:rPr>
          <w:rFonts w:asciiTheme="minorHAnsi" w:hAnsiTheme="minorHAnsi"/>
          <w:sz w:val="24"/>
          <w:szCs w:val="24"/>
        </w:rPr>
        <w:t>PCC</w:t>
      </w:r>
      <w:r w:rsidRPr="00192A4D">
        <w:rPr>
          <w:rFonts w:asciiTheme="minorHAnsi" w:hAnsiTheme="minorHAnsi"/>
          <w:sz w:val="24"/>
          <w:szCs w:val="24"/>
        </w:rPr>
        <w:t xml:space="preserve"> Commission. You should not wait until someone has been arrested, charged or convicted, before reporting an incident.</w:t>
      </w:r>
    </w:p>
    <w:p w:rsidR="00617470" w:rsidRPr="00192A4D" w:rsidRDefault="00617470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69662E" w:rsidP="0069662E">
      <w:pPr>
        <w:tabs>
          <w:tab w:val="left" w:pos="567"/>
        </w:tabs>
        <w:jc w:val="both"/>
        <w:rPr>
          <w:rFonts w:asciiTheme="minorHAnsi" w:hAnsiTheme="minorHAnsi"/>
          <w:b/>
          <w:color w:val="051FBB"/>
          <w:sz w:val="24"/>
          <w:szCs w:val="24"/>
        </w:rPr>
      </w:pPr>
      <w:r w:rsidRPr="00192A4D">
        <w:rPr>
          <w:rFonts w:asciiTheme="minorHAnsi" w:hAnsiTheme="minorHAnsi"/>
          <w:b/>
          <w:color w:val="051FBB"/>
          <w:sz w:val="24"/>
          <w:szCs w:val="24"/>
        </w:rPr>
        <w:t>2.</w:t>
      </w:r>
      <w:r w:rsidRPr="00192A4D">
        <w:rPr>
          <w:rFonts w:asciiTheme="minorHAnsi" w:hAnsiTheme="minorHAnsi"/>
          <w:b/>
          <w:color w:val="051FBB"/>
          <w:sz w:val="24"/>
          <w:szCs w:val="24"/>
        </w:rPr>
        <w:tab/>
      </w:r>
      <w:r w:rsidR="00A76926" w:rsidRPr="00192A4D">
        <w:rPr>
          <w:rFonts w:asciiTheme="minorHAnsi" w:hAnsiTheme="minorHAnsi"/>
          <w:b/>
          <w:color w:val="051FBB"/>
          <w:sz w:val="24"/>
          <w:szCs w:val="24"/>
        </w:rPr>
        <w:t>What are the main types of Serious Incident</w:t>
      </w:r>
      <w:r w:rsidR="00F428E3" w:rsidRPr="00192A4D">
        <w:rPr>
          <w:rFonts w:asciiTheme="minorHAnsi" w:hAnsiTheme="minorHAnsi"/>
          <w:b/>
          <w:color w:val="051FBB"/>
          <w:sz w:val="24"/>
          <w:szCs w:val="24"/>
          <w:vertAlign w:val="superscript"/>
        </w:rPr>
        <w:footnoteReference w:id="1"/>
      </w:r>
      <w:r w:rsidR="00A76926" w:rsidRPr="00192A4D">
        <w:rPr>
          <w:rFonts w:asciiTheme="minorHAnsi" w:hAnsiTheme="minorHAnsi"/>
          <w:b/>
          <w:color w:val="051FBB"/>
          <w:sz w:val="24"/>
          <w:szCs w:val="24"/>
        </w:rPr>
        <w:t>?</w:t>
      </w:r>
    </w:p>
    <w:p w:rsidR="000A3691" w:rsidRPr="00192A4D" w:rsidRDefault="000A3691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FB5DC7" w:rsidP="00FB5DC7">
      <w:pPr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(A)</w:t>
      </w:r>
      <w:r w:rsidRPr="00192A4D">
        <w:rPr>
          <w:rFonts w:asciiTheme="minorHAnsi" w:hAnsiTheme="minorHAnsi"/>
          <w:sz w:val="24"/>
          <w:szCs w:val="24"/>
        </w:rPr>
        <w:tab/>
      </w:r>
      <w:r w:rsidR="00A76926" w:rsidRPr="00192A4D">
        <w:rPr>
          <w:rFonts w:asciiTheme="minorHAnsi" w:hAnsiTheme="minorHAnsi"/>
          <w:sz w:val="24"/>
          <w:szCs w:val="24"/>
        </w:rPr>
        <w:t>Financial crimes, such as fraud, cyber-crime, theft and money laundering</w:t>
      </w:r>
      <w:r w:rsidR="00F428E3" w:rsidRPr="00192A4D">
        <w:rPr>
          <w:rFonts w:asciiTheme="minorHAnsi" w:hAnsiTheme="minorHAnsi"/>
          <w:sz w:val="24"/>
          <w:szCs w:val="24"/>
        </w:rPr>
        <w:t>:</w:t>
      </w:r>
    </w:p>
    <w:p w:rsidR="00617470" w:rsidRPr="00192A4D" w:rsidRDefault="00A76926" w:rsidP="00FB5DC7">
      <w:pPr>
        <w:pStyle w:val="ListParagraph"/>
        <w:numPr>
          <w:ilvl w:val="0"/>
          <w:numId w:val="10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Theft and fraud of money and financial assets.</w:t>
      </w:r>
    </w:p>
    <w:p w:rsidR="00617470" w:rsidRPr="00192A4D" w:rsidRDefault="00A76926" w:rsidP="00FB5DC7">
      <w:pPr>
        <w:pStyle w:val="ListParagraph"/>
        <w:numPr>
          <w:ilvl w:val="0"/>
          <w:numId w:val="10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Cyber-crime is any criminal act involving computers and networks.</w:t>
      </w:r>
    </w:p>
    <w:p w:rsidR="00617470" w:rsidRPr="00192A4D" w:rsidRDefault="00A76926" w:rsidP="00FB5DC7">
      <w:pPr>
        <w:pStyle w:val="ListParagraph"/>
        <w:numPr>
          <w:ilvl w:val="0"/>
          <w:numId w:val="10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Theft of “intangible” assets, such as databases and confidential or sensitive information, which can cause not only financial loss, but can als</w:t>
      </w:r>
      <w:r w:rsidR="00255AF9" w:rsidRPr="00192A4D">
        <w:rPr>
          <w:rFonts w:asciiTheme="minorHAnsi" w:hAnsiTheme="minorHAnsi"/>
          <w:sz w:val="24"/>
          <w:szCs w:val="24"/>
        </w:rPr>
        <w:t>o damage a PCC</w:t>
      </w:r>
      <w:r w:rsidRPr="00192A4D">
        <w:rPr>
          <w:rFonts w:asciiTheme="minorHAnsi" w:hAnsiTheme="minorHAnsi"/>
          <w:sz w:val="24"/>
          <w:szCs w:val="24"/>
        </w:rPr>
        <w:t>’s reputation with donors, beneficiaries and the general public.</w:t>
      </w:r>
    </w:p>
    <w:p w:rsidR="00617470" w:rsidRPr="00192A4D" w:rsidRDefault="00A76926" w:rsidP="00FB5DC7">
      <w:pPr>
        <w:pStyle w:val="ListParagraph"/>
        <w:numPr>
          <w:ilvl w:val="0"/>
          <w:numId w:val="10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Fraud includes dishonesty and false representation, such as identity fraud.</w:t>
      </w:r>
    </w:p>
    <w:p w:rsidR="00617470" w:rsidRPr="00192A4D" w:rsidRDefault="00A76926" w:rsidP="00FB5DC7">
      <w:pPr>
        <w:pStyle w:val="ListParagraph"/>
        <w:numPr>
          <w:ilvl w:val="0"/>
          <w:numId w:val="10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Charities can, inadvertently, be used to launder money.</w:t>
      </w:r>
    </w:p>
    <w:p w:rsidR="00192A4D" w:rsidRDefault="00192A4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0A3691" w:rsidRPr="00192A4D" w:rsidRDefault="000A3691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6E515D" w:rsidP="006E515D">
      <w:p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(B)</w:t>
      </w:r>
      <w:r w:rsidRPr="00192A4D">
        <w:rPr>
          <w:rFonts w:asciiTheme="minorHAnsi" w:hAnsiTheme="minorHAnsi"/>
          <w:sz w:val="24"/>
          <w:szCs w:val="24"/>
        </w:rPr>
        <w:tab/>
      </w:r>
      <w:r w:rsidR="00A76926" w:rsidRPr="00192A4D">
        <w:rPr>
          <w:rFonts w:asciiTheme="minorHAnsi" w:hAnsiTheme="minorHAnsi"/>
          <w:sz w:val="24"/>
          <w:szCs w:val="24"/>
        </w:rPr>
        <w:t>Large donations from an unknown or unverifiable source, or suspicious financial activity using the charity’s funds</w:t>
      </w:r>
      <w:r w:rsidR="00F428E3" w:rsidRPr="00192A4D">
        <w:rPr>
          <w:rFonts w:asciiTheme="minorHAnsi" w:hAnsiTheme="minorHAnsi"/>
          <w:sz w:val="24"/>
          <w:szCs w:val="24"/>
        </w:rPr>
        <w:t>:</w:t>
      </w:r>
    </w:p>
    <w:p w:rsidR="00617470" w:rsidRPr="00192A4D" w:rsidRDefault="00A76926" w:rsidP="006E515D">
      <w:pPr>
        <w:pStyle w:val="ListParagraph"/>
        <w:numPr>
          <w:ilvl w:val="0"/>
          <w:numId w:val="11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Donations from unusual sources and one-off significant donations (or a series of smaller donations) from a previously unknown donor or an unverified</w:t>
      </w:r>
      <w:r w:rsidR="00F428E3" w:rsidRPr="00192A4D">
        <w:rPr>
          <w:sz w:val="24"/>
          <w:szCs w:val="24"/>
          <w:vertAlign w:val="superscript"/>
        </w:rPr>
        <w:footnoteReference w:id="2"/>
      </w:r>
      <w:r w:rsidRPr="00192A4D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192A4D">
        <w:rPr>
          <w:rFonts w:asciiTheme="minorHAnsi" w:hAnsiTheme="minorHAnsi"/>
          <w:sz w:val="24"/>
          <w:szCs w:val="24"/>
        </w:rPr>
        <w:t>source should be considered carefully.</w:t>
      </w:r>
      <w:r w:rsidR="006E515D" w:rsidRPr="00192A4D">
        <w:rPr>
          <w:rFonts w:asciiTheme="minorHAnsi" w:hAnsiTheme="minorHAnsi"/>
          <w:sz w:val="24"/>
          <w:szCs w:val="24"/>
        </w:rPr>
        <w:t xml:space="preserve"> </w:t>
      </w:r>
      <w:r w:rsidRPr="00192A4D">
        <w:rPr>
          <w:rFonts w:asciiTheme="minorHAnsi" w:hAnsiTheme="minorHAnsi"/>
          <w:sz w:val="24"/>
          <w:szCs w:val="24"/>
        </w:rPr>
        <w:t xml:space="preserve"> Unverified or suspicious donations from a single source exceeding £25k should be reported to the Charity Commission. </w:t>
      </w:r>
    </w:p>
    <w:p w:rsidR="00255AF9" w:rsidRPr="00192A4D" w:rsidRDefault="00255AF9" w:rsidP="006E515D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1C624B" w:rsidP="006E515D">
      <w:pPr>
        <w:ind w:left="567" w:hanging="567"/>
        <w:jc w:val="both"/>
        <w:rPr>
          <w:rFonts w:asciiTheme="minorHAnsi" w:hAnsiTheme="minorHAnsi"/>
          <w:sz w:val="24"/>
          <w:szCs w:val="24"/>
        </w:rPr>
      </w:pPr>
      <w:bookmarkStart w:id="1" w:name="_bookmark0"/>
      <w:bookmarkStart w:id="2" w:name="_bookmark1"/>
      <w:bookmarkStart w:id="3" w:name="_bookmark3"/>
      <w:bookmarkEnd w:id="1"/>
      <w:bookmarkEnd w:id="2"/>
      <w:bookmarkEnd w:id="3"/>
      <w:r w:rsidRPr="00192A4D">
        <w:rPr>
          <w:rFonts w:asciiTheme="minorHAnsi" w:hAnsiTheme="minorHAnsi"/>
          <w:sz w:val="24"/>
          <w:szCs w:val="24"/>
        </w:rPr>
        <w:t>(C)</w:t>
      </w:r>
      <w:r w:rsidRPr="00192A4D">
        <w:rPr>
          <w:rFonts w:asciiTheme="minorHAnsi" w:hAnsiTheme="minorHAnsi"/>
          <w:sz w:val="24"/>
          <w:szCs w:val="24"/>
        </w:rPr>
        <w:tab/>
      </w:r>
      <w:r w:rsidR="00A76926" w:rsidRPr="00192A4D">
        <w:rPr>
          <w:rFonts w:asciiTheme="minorHAnsi" w:hAnsiTheme="minorHAnsi"/>
          <w:sz w:val="24"/>
          <w:szCs w:val="24"/>
        </w:rPr>
        <w:t>Other significant financial loss</w:t>
      </w:r>
      <w:r w:rsidR="00F428E3" w:rsidRPr="00192A4D">
        <w:rPr>
          <w:rFonts w:asciiTheme="minorHAnsi" w:hAnsiTheme="minorHAnsi"/>
          <w:sz w:val="24"/>
          <w:szCs w:val="24"/>
        </w:rPr>
        <w:t>:</w:t>
      </w:r>
    </w:p>
    <w:p w:rsidR="00F428E3" w:rsidRPr="00192A4D" w:rsidRDefault="00F428E3" w:rsidP="006E515D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1C624B">
      <w:pPr>
        <w:ind w:left="567"/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A loss of funds or property totalling over £25,000 or, if the loss is valued at below</w:t>
      </w:r>
      <w:r w:rsidR="00F428E3" w:rsidRPr="00192A4D">
        <w:rPr>
          <w:rFonts w:asciiTheme="minorHAnsi" w:hAnsiTheme="minorHAnsi"/>
          <w:sz w:val="24"/>
          <w:szCs w:val="24"/>
        </w:rPr>
        <w:t xml:space="preserve"> </w:t>
      </w:r>
      <w:r w:rsidRPr="00192A4D">
        <w:rPr>
          <w:rFonts w:asciiTheme="minorHAnsi" w:hAnsiTheme="minorHAnsi"/>
          <w:sz w:val="24"/>
          <w:szCs w:val="24"/>
        </w:rPr>
        <w:t>£25,000, if the</w:t>
      </w:r>
      <w:r w:rsidR="00255AF9" w:rsidRPr="00192A4D">
        <w:rPr>
          <w:rFonts w:asciiTheme="minorHAnsi" w:hAnsiTheme="minorHAnsi"/>
          <w:sz w:val="24"/>
          <w:szCs w:val="24"/>
        </w:rPr>
        <w:t xml:space="preserve"> loss exceeds 20% of the PCC</w:t>
      </w:r>
      <w:r w:rsidRPr="00192A4D">
        <w:rPr>
          <w:rFonts w:asciiTheme="minorHAnsi" w:hAnsiTheme="minorHAnsi"/>
          <w:sz w:val="24"/>
          <w:szCs w:val="24"/>
        </w:rPr>
        <w:t xml:space="preserve">’s income, should generally be reported as a Serious </w:t>
      </w:r>
      <w:r w:rsidR="00F428E3" w:rsidRPr="00192A4D">
        <w:rPr>
          <w:rFonts w:asciiTheme="minorHAnsi" w:hAnsiTheme="minorHAnsi"/>
          <w:sz w:val="24"/>
          <w:szCs w:val="24"/>
        </w:rPr>
        <w:t>Incident.</w:t>
      </w:r>
      <w:r w:rsidRPr="00192A4D">
        <w:rPr>
          <w:rFonts w:asciiTheme="minorHAnsi" w:hAnsiTheme="minorHAnsi"/>
          <w:sz w:val="24"/>
          <w:szCs w:val="24"/>
        </w:rPr>
        <w:t xml:space="preserve"> </w:t>
      </w:r>
      <w:r w:rsidR="00F428E3" w:rsidRPr="00192A4D">
        <w:rPr>
          <w:rFonts w:asciiTheme="minorHAnsi" w:hAnsiTheme="minorHAnsi"/>
          <w:sz w:val="24"/>
          <w:szCs w:val="24"/>
        </w:rPr>
        <w:t xml:space="preserve"> </w:t>
      </w:r>
      <w:r w:rsidRPr="00192A4D">
        <w:rPr>
          <w:rFonts w:asciiTheme="minorHAnsi" w:hAnsiTheme="minorHAnsi"/>
          <w:sz w:val="24"/>
          <w:szCs w:val="24"/>
        </w:rPr>
        <w:t>Examples of such losses may include:</w:t>
      </w:r>
    </w:p>
    <w:p w:rsidR="00617470" w:rsidRPr="00192A4D" w:rsidRDefault="00A76926" w:rsidP="001C624B">
      <w:pPr>
        <w:pStyle w:val="ListParagraph"/>
        <w:numPr>
          <w:ilvl w:val="0"/>
          <w:numId w:val="12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significant fire, flood or storm damage destroying or seriously damaging the charity’s main premises;</w:t>
      </w:r>
    </w:p>
    <w:p w:rsidR="00617470" w:rsidRPr="00192A4D" w:rsidRDefault="00A76926" w:rsidP="001C624B">
      <w:pPr>
        <w:pStyle w:val="ListParagraph"/>
        <w:numPr>
          <w:ilvl w:val="0"/>
          <w:numId w:val="12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having to abandon property;</w:t>
      </w:r>
    </w:p>
    <w:p w:rsidR="00617470" w:rsidRPr="00192A4D" w:rsidRDefault="00A76926" w:rsidP="001C624B">
      <w:pPr>
        <w:pStyle w:val="ListParagraph"/>
        <w:numPr>
          <w:ilvl w:val="0"/>
          <w:numId w:val="12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losing a court case and having to pay substantial lega</w:t>
      </w:r>
      <w:r w:rsidR="00255AF9" w:rsidRPr="00192A4D">
        <w:rPr>
          <w:rFonts w:asciiTheme="minorHAnsi" w:hAnsiTheme="minorHAnsi"/>
          <w:sz w:val="24"/>
          <w:szCs w:val="24"/>
        </w:rPr>
        <w:t>l fees or damages out of PCC</w:t>
      </w:r>
      <w:r w:rsidRPr="00192A4D">
        <w:rPr>
          <w:rFonts w:asciiTheme="minorHAnsi" w:hAnsiTheme="minorHAnsi"/>
          <w:sz w:val="24"/>
          <w:szCs w:val="24"/>
        </w:rPr>
        <w:t xml:space="preserve"> funds (unless costs are incurred through routine litigation, undertaken in line with charitable aims and on behalf of beneficiaries);</w:t>
      </w:r>
    </w:p>
    <w:p w:rsidR="00617470" w:rsidRPr="00192A4D" w:rsidRDefault="00A76926" w:rsidP="001C624B">
      <w:pPr>
        <w:pStyle w:val="ListParagraph"/>
        <w:numPr>
          <w:ilvl w:val="0"/>
          <w:numId w:val="12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significant financial penalties for breaches or non-compliance imposed by regulators including HMRC, the Financial Conduct Authority, the Health and Safety Executive, the Information Commissioners Office and the Fundraising Regulator.</w:t>
      </w:r>
    </w:p>
    <w:p w:rsidR="00F428E3" w:rsidRPr="00192A4D" w:rsidRDefault="00F428E3" w:rsidP="006E515D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1C624B" w:rsidP="006E515D">
      <w:p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(D)</w:t>
      </w:r>
      <w:r w:rsidRPr="00192A4D">
        <w:rPr>
          <w:rFonts w:asciiTheme="minorHAnsi" w:hAnsiTheme="minorHAnsi"/>
          <w:sz w:val="24"/>
          <w:szCs w:val="24"/>
        </w:rPr>
        <w:tab/>
      </w:r>
      <w:r w:rsidR="00A76926" w:rsidRPr="00192A4D">
        <w:rPr>
          <w:rFonts w:asciiTheme="minorHAnsi" w:hAnsiTheme="minorHAnsi"/>
          <w:sz w:val="24"/>
          <w:szCs w:val="24"/>
        </w:rPr>
        <w:t>Other significant incidents:</w:t>
      </w:r>
    </w:p>
    <w:p w:rsidR="00617470" w:rsidRPr="00192A4D" w:rsidRDefault="00F337E7" w:rsidP="001C624B">
      <w:pPr>
        <w:pStyle w:val="ListParagraph"/>
        <w:numPr>
          <w:ilvl w:val="0"/>
          <w:numId w:val="13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A PCC member</w:t>
      </w:r>
      <w:r w:rsidR="00A76926" w:rsidRPr="00192A4D">
        <w:rPr>
          <w:rFonts w:asciiTheme="minorHAnsi" w:hAnsiTheme="minorHAnsi"/>
          <w:sz w:val="24"/>
          <w:szCs w:val="24"/>
        </w:rPr>
        <w:t xml:space="preserve"> is disqualified</w:t>
      </w:r>
      <w:r w:rsidRPr="00192A4D">
        <w:rPr>
          <w:rFonts w:asciiTheme="minorHAnsi" w:hAnsiTheme="minorHAnsi"/>
          <w:sz w:val="24"/>
          <w:szCs w:val="24"/>
        </w:rPr>
        <w:t xml:space="preserve"> in law from acting on the PCC</w:t>
      </w:r>
      <w:r w:rsidR="00A76926" w:rsidRPr="00192A4D">
        <w:rPr>
          <w:rFonts w:asciiTheme="minorHAnsi" w:hAnsiTheme="minorHAnsi"/>
          <w:sz w:val="24"/>
          <w:szCs w:val="24"/>
        </w:rPr>
        <w:t>, for example due to an unspent conviction for fraud or theft, being an undischarged bankrupt, or being disqualified as a director under company law.</w:t>
      </w:r>
    </w:p>
    <w:p w:rsidR="00617470" w:rsidRPr="00192A4D" w:rsidRDefault="00A76926" w:rsidP="001C624B">
      <w:pPr>
        <w:pStyle w:val="ListParagraph"/>
        <w:numPr>
          <w:ilvl w:val="0"/>
          <w:numId w:val="13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A data protection breach which is notified to the Information Commissioner’s Office (ICO), or an investigation into the ch</w:t>
      </w:r>
      <w:r w:rsidR="00F428E3" w:rsidRPr="00192A4D">
        <w:rPr>
          <w:rFonts w:asciiTheme="minorHAnsi" w:hAnsiTheme="minorHAnsi"/>
          <w:sz w:val="24"/>
          <w:szCs w:val="24"/>
        </w:rPr>
        <w:t>arity being launched by the ICO.</w:t>
      </w:r>
    </w:p>
    <w:p w:rsidR="00F337E7" w:rsidRPr="00192A4D" w:rsidRDefault="00F337E7" w:rsidP="001C624B">
      <w:pPr>
        <w:pStyle w:val="ListParagraph"/>
        <w:numPr>
          <w:ilvl w:val="0"/>
          <w:numId w:val="13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The PCC</w:t>
      </w:r>
      <w:r w:rsidR="00A76926" w:rsidRPr="00192A4D">
        <w:rPr>
          <w:rFonts w:asciiTheme="minorHAnsi" w:hAnsiTheme="minorHAnsi"/>
          <w:sz w:val="24"/>
          <w:szCs w:val="24"/>
        </w:rPr>
        <w:t xml:space="preserve"> is subject to a police investigation or a significant investigation by another agency or regulator, including the Fundraising Regulator </w:t>
      </w:r>
    </w:p>
    <w:p w:rsidR="00617470" w:rsidRPr="00192A4D" w:rsidRDefault="00F337E7" w:rsidP="001C624B">
      <w:pPr>
        <w:pStyle w:val="ListParagraph"/>
        <w:numPr>
          <w:ilvl w:val="0"/>
          <w:numId w:val="13"/>
        </w:numPr>
        <w:ind w:left="851" w:hanging="284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The PCC</w:t>
      </w:r>
      <w:r w:rsidR="00A76926" w:rsidRPr="00192A4D">
        <w:rPr>
          <w:rFonts w:asciiTheme="minorHAnsi" w:hAnsiTheme="minorHAnsi"/>
          <w:sz w:val="24"/>
          <w:szCs w:val="24"/>
        </w:rPr>
        <w:t xml:space="preserve"> or </w:t>
      </w:r>
      <w:r w:rsidRPr="00192A4D">
        <w:rPr>
          <w:rFonts w:asciiTheme="minorHAnsi" w:hAnsiTheme="minorHAnsi"/>
          <w:sz w:val="24"/>
          <w:szCs w:val="24"/>
        </w:rPr>
        <w:t xml:space="preserve">its </w:t>
      </w:r>
      <w:r w:rsidR="00A76926" w:rsidRPr="00192A4D">
        <w:rPr>
          <w:rFonts w:asciiTheme="minorHAnsi" w:hAnsiTheme="minorHAnsi"/>
          <w:sz w:val="24"/>
          <w:szCs w:val="24"/>
        </w:rPr>
        <w:t xml:space="preserve">employees are the subject of criminal proceedings </w:t>
      </w:r>
      <w:r w:rsidRPr="00192A4D">
        <w:rPr>
          <w:rFonts w:asciiTheme="minorHAnsi" w:hAnsiTheme="minorHAnsi"/>
          <w:sz w:val="24"/>
          <w:szCs w:val="24"/>
        </w:rPr>
        <w:t>in connection with the church o</w:t>
      </w:r>
      <w:r w:rsidR="00A76926" w:rsidRPr="00192A4D">
        <w:rPr>
          <w:rFonts w:asciiTheme="minorHAnsi" w:hAnsiTheme="minorHAnsi"/>
          <w:sz w:val="24"/>
          <w:szCs w:val="24"/>
        </w:rPr>
        <w:t>r their role in it.</w:t>
      </w:r>
    </w:p>
    <w:p w:rsidR="00F428E3" w:rsidRPr="00192A4D" w:rsidRDefault="00F428E3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F428E3" w:rsidP="001C624B">
      <w:pPr>
        <w:ind w:left="567" w:hanging="567"/>
        <w:jc w:val="both"/>
        <w:rPr>
          <w:rFonts w:asciiTheme="minorHAnsi" w:hAnsiTheme="minorHAnsi"/>
          <w:b/>
          <w:color w:val="051FBB"/>
          <w:sz w:val="24"/>
          <w:szCs w:val="24"/>
        </w:rPr>
      </w:pPr>
      <w:r w:rsidRPr="00192A4D">
        <w:rPr>
          <w:rFonts w:asciiTheme="minorHAnsi" w:hAnsiTheme="minorHAnsi"/>
          <w:b/>
          <w:color w:val="051FBB"/>
          <w:sz w:val="24"/>
          <w:szCs w:val="24"/>
        </w:rPr>
        <w:t>3.</w:t>
      </w:r>
      <w:r w:rsidRPr="00192A4D">
        <w:rPr>
          <w:rFonts w:asciiTheme="minorHAnsi" w:hAnsiTheme="minorHAnsi"/>
          <w:b/>
          <w:color w:val="051FBB"/>
          <w:sz w:val="24"/>
          <w:szCs w:val="24"/>
        </w:rPr>
        <w:tab/>
      </w:r>
      <w:r w:rsidR="00A76926" w:rsidRPr="00192A4D">
        <w:rPr>
          <w:rFonts w:asciiTheme="minorHAnsi" w:hAnsiTheme="minorHAnsi"/>
          <w:b/>
          <w:color w:val="051FBB"/>
          <w:sz w:val="24"/>
          <w:szCs w:val="24"/>
        </w:rPr>
        <w:t>What is not a Serious Incident?</w:t>
      </w:r>
    </w:p>
    <w:p w:rsidR="00F428E3" w:rsidRPr="00192A4D" w:rsidRDefault="00F428E3" w:rsidP="0069662E">
      <w:pPr>
        <w:jc w:val="both"/>
        <w:rPr>
          <w:rFonts w:asciiTheme="minorHAnsi" w:hAnsiTheme="minorHAnsi"/>
          <w:sz w:val="24"/>
          <w:szCs w:val="24"/>
        </w:rPr>
      </w:pPr>
    </w:p>
    <w:p w:rsidR="00F428E3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 xml:space="preserve">If an incident is not Serious, or it is not connected with the </w:t>
      </w:r>
      <w:r w:rsidR="00F337E7" w:rsidRPr="00192A4D">
        <w:rPr>
          <w:rFonts w:asciiTheme="minorHAnsi" w:hAnsiTheme="minorHAnsi"/>
          <w:sz w:val="24"/>
          <w:szCs w:val="24"/>
        </w:rPr>
        <w:t>PCC/church</w:t>
      </w:r>
      <w:r w:rsidRPr="00192A4D">
        <w:rPr>
          <w:rFonts w:asciiTheme="minorHAnsi" w:hAnsiTheme="minorHAnsi"/>
          <w:sz w:val="24"/>
          <w:szCs w:val="24"/>
        </w:rPr>
        <w:t xml:space="preserve">’s activities, it does </w:t>
      </w:r>
      <w:r w:rsidR="00F337E7" w:rsidRPr="00192A4D">
        <w:rPr>
          <w:rFonts w:asciiTheme="minorHAnsi" w:hAnsiTheme="minorHAnsi"/>
          <w:sz w:val="24"/>
          <w:szCs w:val="24"/>
        </w:rPr>
        <w:t>not need to be reported: h</w:t>
      </w:r>
      <w:r w:rsidRPr="00192A4D">
        <w:rPr>
          <w:rFonts w:asciiTheme="minorHAnsi" w:hAnsiTheme="minorHAnsi"/>
          <w:sz w:val="24"/>
          <w:szCs w:val="24"/>
        </w:rPr>
        <w:t xml:space="preserve">ealth and safety type accidents, which do not result from a failure of governance or the following of proper procedures, do not need to be reported as a Serious Incident. </w:t>
      </w:r>
      <w:r w:rsidR="00F428E3" w:rsidRPr="00192A4D">
        <w:rPr>
          <w:rFonts w:asciiTheme="minorHAnsi" w:hAnsiTheme="minorHAnsi"/>
          <w:sz w:val="24"/>
          <w:szCs w:val="24"/>
        </w:rPr>
        <w:t xml:space="preserve"> </w:t>
      </w:r>
      <w:r w:rsidRPr="00192A4D">
        <w:rPr>
          <w:rFonts w:asciiTheme="minorHAnsi" w:hAnsiTheme="minorHAnsi"/>
          <w:sz w:val="24"/>
          <w:szCs w:val="24"/>
        </w:rPr>
        <w:t xml:space="preserve">For example, if the PCC’s minibus crashed on a children’s outing, with no serious injuries, because another driver drove into it, it does not need to be reported. </w:t>
      </w:r>
    </w:p>
    <w:p w:rsidR="00192A4D" w:rsidRDefault="00192A4D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However, if it crashed because the minibus was in poor state of repair and had not been serviced, and/or any of those on the bus were killed or were seriously injured, it would need to be reported as a Serious Incident.</w:t>
      </w:r>
    </w:p>
    <w:p w:rsidR="00617470" w:rsidRPr="00192A4D" w:rsidRDefault="00617470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261761" w:rsidP="008E4DA3">
      <w:pPr>
        <w:ind w:left="567" w:hanging="567"/>
        <w:jc w:val="both"/>
        <w:rPr>
          <w:rFonts w:asciiTheme="minorHAnsi" w:hAnsiTheme="minorHAnsi"/>
          <w:b/>
          <w:color w:val="051FBB"/>
          <w:sz w:val="24"/>
          <w:szCs w:val="24"/>
        </w:rPr>
      </w:pPr>
      <w:r w:rsidRPr="00192A4D">
        <w:rPr>
          <w:rFonts w:asciiTheme="minorHAnsi" w:hAnsiTheme="minorHAnsi"/>
          <w:b/>
          <w:color w:val="051FBB"/>
          <w:sz w:val="24"/>
          <w:szCs w:val="24"/>
        </w:rPr>
        <w:t>4</w:t>
      </w:r>
      <w:r w:rsidR="008E4DA3" w:rsidRPr="00192A4D">
        <w:rPr>
          <w:rFonts w:asciiTheme="minorHAnsi" w:hAnsiTheme="minorHAnsi"/>
          <w:b/>
          <w:color w:val="051FBB"/>
          <w:sz w:val="24"/>
          <w:szCs w:val="24"/>
        </w:rPr>
        <w:t>.</w:t>
      </w:r>
      <w:r w:rsidR="008E4DA3" w:rsidRPr="00192A4D">
        <w:rPr>
          <w:rFonts w:asciiTheme="minorHAnsi" w:hAnsiTheme="minorHAnsi"/>
          <w:b/>
          <w:color w:val="051FBB"/>
          <w:sz w:val="24"/>
          <w:szCs w:val="24"/>
        </w:rPr>
        <w:tab/>
      </w:r>
      <w:r w:rsidR="00A76926" w:rsidRPr="00192A4D">
        <w:rPr>
          <w:rFonts w:asciiTheme="minorHAnsi" w:hAnsiTheme="minorHAnsi"/>
          <w:b/>
          <w:color w:val="051FBB"/>
          <w:sz w:val="24"/>
          <w:szCs w:val="24"/>
        </w:rPr>
        <w:t>When should a Serious Incident be reported to the Charity Commission?</w:t>
      </w:r>
    </w:p>
    <w:p w:rsidR="00F428E3" w:rsidRPr="00192A4D" w:rsidRDefault="00F428E3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A76926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The Charity Commission expects that Serious Incidents are reported to it “promptly”</w:t>
      </w:r>
      <w:r w:rsidR="00755BFD" w:rsidRPr="00192A4D">
        <w:rPr>
          <w:rFonts w:asciiTheme="minorHAnsi" w:hAnsiTheme="minorHAnsi"/>
          <w:sz w:val="24"/>
          <w:szCs w:val="24"/>
          <w:vertAlign w:val="superscript"/>
        </w:rPr>
        <w:footnoteReference w:id="3"/>
      </w:r>
      <w:r w:rsidRPr="00192A4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F428E3" w:rsidRPr="00192A4D">
        <w:rPr>
          <w:rFonts w:asciiTheme="minorHAnsi" w:hAnsiTheme="minorHAnsi"/>
          <w:sz w:val="24"/>
          <w:szCs w:val="24"/>
        </w:rPr>
        <w:t>ie</w:t>
      </w:r>
      <w:proofErr w:type="spellEnd"/>
      <w:r w:rsidR="00F428E3" w:rsidRPr="00192A4D">
        <w:rPr>
          <w:rFonts w:asciiTheme="minorHAnsi" w:hAnsiTheme="minorHAnsi"/>
          <w:sz w:val="24"/>
          <w:szCs w:val="24"/>
        </w:rPr>
        <w:t xml:space="preserve"> </w:t>
      </w:r>
      <w:r w:rsidRPr="00192A4D">
        <w:rPr>
          <w:rFonts w:asciiTheme="minorHAnsi" w:hAnsiTheme="minorHAnsi"/>
          <w:sz w:val="24"/>
          <w:szCs w:val="24"/>
        </w:rPr>
        <w:t>as soon as is reasonably possible after it happens, or immediately after you become aware of it. In practice, a report should be made once sufficient information has been gathered for the report to be meaningful. However, there may be occasions where it is appropriate for a brief initial report to be made, with an indication that a follow-up report will be made once additional information has been obtained.</w:t>
      </w:r>
    </w:p>
    <w:p w:rsidR="00617470" w:rsidRPr="00192A4D" w:rsidRDefault="00617470" w:rsidP="0069662E">
      <w:pPr>
        <w:jc w:val="both"/>
        <w:rPr>
          <w:rFonts w:asciiTheme="minorHAnsi" w:hAnsiTheme="minorHAnsi"/>
          <w:sz w:val="24"/>
          <w:szCs w:val="24"/>
        </w:rPr>
      </w:pPr>
    </w:p>
    <w:p w:rsidR="00261761" w:rsidRPr="00192A4D" w:rsidRDefault="00261761" w:rsidP="00261761">
      <w:pPr>
        <w:ind w:left="567" w:hanging="567"/>
        <w:jc w:val="both"/>
        <w:rPr>
          <w:rFonts w:asciiTheme="minorHAnsi" w:hAnsiTheme="minorHAnsi"/>
          <w:b/>
          <w:color w:val="051FBB"/>
          <w:sz w:val="24"/>
          <w:szCs w:val="24"/>
        </w:rPr>
      </w:pPr>
      <w:r w:rsidRPr="00192A4D">
        <w:rPr>
          <w:rFonts w:asciiTheme="minorHAnsi" w:hAnsiTheme="minorHAnsi"/>
          <w:b/>
          <w:color w:val="051FBB"/>
          <w:sz w:val="24"/>
          <w:szCs w:val="24"/>
        </w:rPr>
        <w:t>5.</w:t>
      </w:r>
      <w:r w:rsidRPr="00192A4D">
        <w:rPr>
          <w:rFonts w:asciiTheme="minorHAnsi" w:hAnsiTheme="minorHAnsi"/>
          <w:b/>
          <w:color w:val="051FBB"/>
          <w:sz w:val="24"/>
          <w:szCs w:val="24"/>
        </w:rPr>
        <w:tab/>
        <w:t>Who is responsible for preparing and submitting the Serious Incident Report?</w:t>
      </w:r>
    </w:p>
    <w:p w:rsidR="00261761" w:rsidRPr="00192A4D" w:rsidRDefault="00261761" w:rsidP="00261761">
      <w:pPr>
        <w:jc w:val="both"/>
        <w:rPr>
          <w:rFonts w:asciiTheme="minorHAnsi" w:hAnsiTheme="minorHAnsi"/>
          <w:sz w:val="24"/>
          <w:szCs w:val="24"/>
        </w:rPr>
      </w:pPr>
    </w:p>
    <w:p w:rsidR="00261761" w:rsidRPr="00192A4D" w:rsidRDefault="00261761" w:rsidP="00261761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 xml:space="preserve">The PCC should delegate the responsibility for submitting Serious Incident reports to the Charity Commission to two or three appropriate people. </w:t>
      </w:r>
    </w:p>
    <w:p w:rsidR="00261761" w:rsidRPr="00192A4D" w:rsidRDefault="00261761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8E4DA3" w:rsidP="008E4DA3">
      <w:pPr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192A4D">
        <w:rPr>
          <w:rFonts w:asciiTheme="minorHAnsi" w:hAnsiTheme="minorHAnsi"/>
          <w:b/>
          <w:color w:val="051FBB"/>
          <w:sz w:val="24"/>
          <w:szCs w:val="24"/>
        </w:rPr>
        <w:t>6.</w:t>
      </w:r>
      <w:r w:rsidRPr="00192A4D">
        <w:rPr>
          <w:rFonts w:asciiTheme="minorHAnsi" w:hAnsiTheme="minorHAnsi"/>
          <w:b/>
          <w:color w:val="051FBB"/>
          <w:sz w:val="24"/>
          <w:szCs w:val="24"/>
        </w:rPr>
        <w:tab/>
      </w:r>
      <w:r w:rsidR="00A76926" w:rsidRPr="00192A4D">
        <w:rPr>
          <w:rFonts w:asciiTheme="minorHAnsi" w:hAnsiTheme="minorHAnsi"/>
          <w:b/>
          <w:color w:val="051FBB"/>
          <w:sz w:val="24"/>
          <w:szCs w:val="24"/>
        </w:rPr>
        <w:t>What information needs to be included in a Serious Incident Report?</w:t>
      </w:r>
    </w:p>
    <w:p w:rsidR="00F428E3" w:rsidRPr="00192A4D" w:rsidRDefault="00F428E3" w:rsidP="0069662E">
      <w:pPr>
        <w:jc w:val="both"/>
        <w:rPr>
          <w:rFonts w:asciiTheme="minorHAnsi" w:hAnsiTheme="minorHAnsi"/>
          <w:sz w:val="24"/>
          <w:szCs w:val="24"/>
        </w:rPr>
      </w:pPr>
    </w:p>
    <w:p w:rsidR="00617470" w:rsidRPr="00192A4D" w:rsidRDefault="00755BFD" w:rsidP="0069662E">
      <w:pPr>
        <w:jc w:val="both"/>
        <w:rPr>
          <w:rFonts w:asciiTheme="minorHAnsi" w:hAnsiTheme="minorHAnsi"/>
          <w:sz w:val="24"/>
          <w:szCs w:val="24"/>
        </w:rPr>
      </w:pPr>
      <w:r w:rsidRPr="00192A4D">
        <w:rPr>
          <w:rFonts w:asciiTheme="minorHAnsi" w:hAnsiTheme="minorHAnsi"/>
          <w:sz w:val="24"/>
          <w:szCs w:val="24"/>
        </w:rPr>
        <w:t>See Annex A.</w:t>
      </w:r>
    </w:p>
    <w:p w:rsidR="00755BFD" w:rsidRDefault="00755BFD" w:rsidP="0069662E">
      <w:pPr>
        <w:jc w:val="both"/>
        <w:rPr>
          <w:rFonts w:asciiTheme="minorHAnsi" w:hAnsiTheme="minorHAnsi"/>
          <w:sz w:val="24"/>
          <w:szCs w:val="24"/>
        </w:rPr>
      </w:pPr>
    </w:p>
    <w:p w:rsidR="009824E4" w:rsidRDefault="009824E4" w:rsidP="0069662E">
      <w:pPr>
        <w:jc w:val="both"/>
        <w:rPr>
          <w:rFonts w:asciiTheme="minorHAnsi" w:hAnsiTheme="minorHAnsi"/>
          <w:sz w:val="24"/>
          <w:szCs w:val="24"/>
        </w:rPr>
      </w:pPr>
    </w:p>
    <w:p w:rsidR="009824E4" w:rsidRDefault="009824E4" w:rsidP="0069662E">
      <w:pPr>
        <w:jc w:val="both"/>
        <w:rPr>
          <w:rFonts w:asciiTheme="minorHAnsi" w:hAnsiTheme="minorHAnsi"/>
          <w:sz w:val="24"/>
          <w:szCs w:val="24"/>
        </w:rPr>
      </w:pPr>
    </w:p>
    <w:p w:rsidR="009824E4" w:rsidRPr="00192A4D" w:rsidRDefault="009824E4" w:rsidP="0069662E">
      <w:pPr>
        <w:jc w:val="both"/>
        <w:rPr>
          <w:rFonts w:asciiTheme="minorHAnsi" w:hAnsiTheme="minorHAnsi"/>
          <w:sz w:val="24"/>
          <w:szCs w:val="24"/>
        </w:rPr>
      </w:pPr>
    </w:p>
    <w:p w:rsidR="009824E4" w:rsidRPr="00047472" w:rsidRDefault="009824E4" w:rsidP="009824E4">
      <w:pPr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4" w:name="_bookmark4"/>
      <w:bookmarkEnd w:id="4"/>
      <w:r w:rsidRPr="00047472">
        <w:rPr>
          <w:rFonts w:asciiTheme="minorHAnsi" w:hAnsiTheme="minorHAnsi" w:cstheme="minorHAnsi"/>
          <w:i/>
          <w:sz w:val="24"/>
          <w:szCs w:val="24"/>
        </w:rPr>
        <w:t>Further information about serious safeguarding incident reporting is available at:</w:t>
      </w:r>
    </w:p>
    <w:p w:rsidR="009824E4" w:rsidRPr="00047472" w:rsidRDefault="00C0081F" w:rsidP="009824E4">
      <w:pPr>
        <w:jc w:val="both"/>
        <w:rPr>
          <w:rFonts w:asciiTheme="minorHAnsi" w:hAnsiTheme="minorHAnsi" w:cstheme="minorHAnsi"/>
          <w:i/>
          <w:sz w:val="24"/>
          <w:szCs w:val="24"/>
        </w:rPr>
      </w:pPr>
      <w:hyperlink r:id="rId10" w:history="1">
        <w:r w:rsidR="009824E4" w:rsidRPr="00047472">
          <w:rPr>
            <w:rStyle w:val="Hyperlink"/>
            <w:rFonts w:asciiTheme="minorHAnsi" w:hAnsiTheme="minorHAnsi" w:cstheme="minorHAnsi"/>
          </w:rPr>
          <w:t>https://www.parishresources.org.uk/wp-content/uploads/Safeguarding-SIR-Guidance-FINAL-1-Jan-2019.pdf</w:t>
        </w:r>
      </w:hyperlink>
    </w:p>
    <w:p w:rsidR="009824E4" w:rsidRPr="00047472" w:rsidRDefault="009824E4" w:rsidP="009824E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24E4" w:rsidRPr="00047472" w:rsidRDefault="009824E4" w:rsidP="009824E4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047472">
        <w:rPr>
          <w:rFonts w:asciiTheme="minorHAnsi" w:hAnsiTheme="minorHAnsi" w:cstheme="minorHAnsi"/>
          <w:i/>
          <w:sz w:val="24"/>
          <w:szCs w:val="24"/>
        </w:rPr>
        <w:t>Information about reporting non-safeguarding serious incidents can be found at:</w:t>
      </w:r>
    </w:p>
    <w:p w:rsidR="009824E4" w:rsidRDefault="00C0081F" w:rsidP="009824E4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hyperlink r:id="rId11" w:history="1">
        <w:r w:rsidR="009824E4" w:rsidRPr="00047472">
          <w:rPr>
            <w:rStyle w:val="Hyperlink"/>
            <w:rFonts w:asciiTheme="minorHAnsi" w:hAnsiTheme="minorHAnsi" w:cstheme="minorHAnsi"/>
          </w:rPr>
          <w:t>https://www.parishresources.org.uk/wp-content/uploads/SIR-Guidance-PCCs-Non-Safeguarding-FINAL-1-Jan-2018.pdf</w:t>
        </w:r>
      </w:hyperlink>
      <w:r w:rsidR="009824E4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 w:type="page"/>
      </w:r>
    </w:p>
    <w:p w:rsidR="00617470" w:rsidRPr="00827955" w:rsidRDefault="00617470" w:rsidP="000A3691">
      <w:pPr>
        <w:rPr>
          <w:rFonts w:asciiTheme="minorHAnsi" w:hAnsiTheme="minorHAnsi" w:cstheme="minorHAnsi"/>
          <w:sz w:val="24"/>
          <w:szCs w:val="24"/>
        </w:rPr>
        <w:sectPr w:rsidR="00617470" w:rsidRPr="00827955" w:rsidSect="0069662E">
          <w:footerReference w:type="default" r:id="rId12"/>
          <w:pgSz w:w="11910" w:h="16840"/>
          <w:pgMar w:top="851" w:right="1418" w:bottom="680" w:left="1418" w:header="0" w:footer="922" w:gutter="0"/>
          <w:cols w:space="720"/>
          <w:docGrid w:linePitch="299"/>
        </w:sectPr>
      </w:pPr>
      <w:bookmarkStart w:id="5" w:name="_bookmark5"/>
      <w:bookmarkEnd w:id="5"/>
    </w:p>
    <w:p w:rsidR="00755BFD" w:rsidRPr="00827955" w:rsidRDefault="00755BFD" w:rsidP="000A3691">
      <w:pPr>
        <w:pStyle w:val="Heading1"/>
        <w:ind w:left="0" w:right="897" w:firstLine="0"/>
        <w:jc w:val="center"/>
        <w:rPr>
          <w:rFonts w:asciiTheme="minorHAnsi" w:hAnsiTheme="minorHAnsi" w:cstheme="minorHAnsi"/>
          <w:color w:val="2E5395"/>
          <w:sz w:val="24"/>
          <w:szCs w:val="24"/>
        </w:rPr>
      </w:pPr>
    </w:p>
    <w:p w:rsidR="00827955" w:rsidRPr="00827955" w:rsidRDefault="00827955" w:rsidP="00827955">
      <w:pPr>
        <w:jc w:val="center"/>
        <w:rPr>
          <w:rFonts w:asciiTheme="minorHAnsi" w:hAnsiTheme="minorHAnsi" w:cstheme="minorHAnsi"/>
          <w:b/>
          <w:color w:val="FF0000"/>
          <w:sz w:val="24"/>
        </w:rPr>
      </w:pPr>
      <w:r w:rsidRPr="00827955">
        <w:rPr>
          <w:rFonts w:asciiTheme="minorHAnsi" w:hAnsiTheme="minorHAnsi" w:cstheme="minorHAnsi"/>
          <w:b/>
          <w:color w:val="FF0000"/>
          <w:sz w:val="24"/>
        </w:rPr>
        <w:t>Template for Individual Serious Incident Reports: Non-Safeguarding</w:t>
      </w:r>
    </w:p>
    <w:p w:rsidR="00827955" w:rsidRPr="00827955" w:rsidRDefault="00827955" w:rsidP="00827955">
      <w:pPr>
        <w:rPr>
          <w:rFonts w:asciiTheme="minorHAnsi" w:hAnsiTheme="minorHAnsi" w:cstheme="minorHAnsi"/>
          <w:b/>
          <w:color w:val="FF0000"/>
          <w:sz w:val="24"/>
        </w:rPr>
      </w:pPr>
    </w:p>
    <w:p w:rsidR="00192A4D" w:rsidRDefault="00827955" w:rsidP="00827955">
      <w:pPr>
        <w:rPr>
          <w:rFonts w:asciiTheme="minorHAnsi" w:hAnsiTheme="minorHAnsi" w:cstheme="minorHAnsi"/>
          <w:b/>
          <w:color w:val="051FBB"/>
          <w:sz w:val="24"/>
        </w:rPr>
      </w:pPr>
      <w:r w:rsidRPr="008E4DA3">
        <w:rPr>
          <w:rFonts w:asciiTheme="minorHAnsi" w:hAnsiTheme="minorHAnsi" w:cstheme="minorHAnsi"/>
          <w:b/>
          <w:color w:val="051FBB"/>
          <w:sz w:val="24"/>
        </w:rPr>
        <w:t xml:space="preserve">Please note:  </w:t>
      </w:r>
    </w:p>
    <w:p w:rsidR="00827955" w:rsidRPr="008E4DA3" w:rsidRDefault="00827955" w:rsidP="00827955">
      <w:pPr>
        <w:rPr>
          <w:rFonts w:asciiTheme="minorHAnsi" w:hAnsiTheme="minorHAnsi" w:cstheme="minorHAnsi"/>
          <w:b/>
          <w:color w:val="051FBB"/>
          <w:sz w:val="24"/>
        </w:rPr>
      </w:pPr>
      <w:r w:rsidRPr="008E4DA3">
        <w:rPr>
          <w:rFonts w:asciiTheme="minorHAnsi" w:hAnsiTheme="minorHAnsi" w:cstheme="minorHAnsi"/>
          <w:b/>
          <w:color w:val="051FBB"/>
          <w:sz w:val="24"/>
        </w:rPr>
        <w:t>This form is for parish use only so as to keep a detailed record in your own files.</w:t>
      </w:r>
    </w:p>
    <w:p w:rsidR="00827955" w:rsidRPr="008E4DA3" w:rsidRDefault="00827955" w:rsidP="00827955">
      <w:pPr>
        <w:rPr>
          <w:rFonts w:asciiTheme="minorHAnsi" w:hAnsiTheme="minorHAnsi" w:cstheme="minorHAnsi"/>
          <w:b/>
          <w:color w:val="051FBB"/>
          <w:sz w:val="12"/>
        </w:rPr>
      </w:pPr>
    </w:p>
    <w:p w:rsidR="00827955" w:rsidRPr="008E4DA3" w:rsidRDefault="00827955" w:rsidP="00827955">
      <w:pPr>
        <w:jc w:val="both"/>
        <w:rPr>
          <w:rFonts w:asciiTheme="minorHAnsi" w:hAnsiTheme="minorHAnsi" w:cstheme="minorHAnsi"/>
          <w:b/>
          <w:color w:val="051FBB"/>
          <w:sz w:val="24"/>
        </w:rPr>
      </w:pPr>
      <w:r w:rsidRPr="008E4DA3">
        <w:rPr>
          <w:rFonts w:asciiTheme="minorHAnsi" w:hAnsiTheme="minorHAnsi" w:cstheme="minorHAnsi"/>
          <w:b/>
          <w:color w:val="051FBB"/>
          <w:sz w:val="24"/>
        </w:rPr>
        <w:t>We would suggest that you give each report its own reference number.</w:t>
      </w:r>
    </w:p>
    <w:p w:rsidR="00827955" w:rsidRPr="00827955" w:rsidRDefault="00827955" w:rsidP="0082795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098"/>
        <w:gridCol w:w="4962"/>
      </w:tblGrid>
      <w:tr w:rsidR="00827955" w:rsidRPr="00827955" w:rsidTr="00FB5EB0">
        <w:trPr>
          <w:trHeight w:val="790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Incident Reference number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i/>
                <w:sz w:val="24"/>
                <w:szCs w:val="24"/>
              </w:rPr>
              <w:t>Make one up that is easy for you to find in your records</w:t>
            </w:r>
          </w:p>
        </w:tc>
      </w:tr>
      <w:tr w:rsidR="00827955" w:rsidRPr="00827955" w:rsidTr="00FB5EB0">
        <w:trPr>
          <w:trHeight w:val="1209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Full name of the PCC charity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i/>
                <w:sz w:val="24"/>
                <w:szCs w:val="24"/>
              </w:rPr>
              <w:t>Name of Church</w:t>
            </w:r>
          </w:p>
        </w:tc>
      </w:tr>
      <w:tr w:rsidR="00827955" w:rsidRPr="00827955" w:rsidTr="00FB5EB0">
        <w:trPr>
          <w:trHeight w:val="1209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Charity registration number (or state that the charity is not registered)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i/>
                <w:sz w:val="24"/>
                <w:szCs w:val="24"/>
              </w:rPr>
              <w:t>Registration number or, if not registered, state that the church is an excepted charity.</w:t>
            </w:r>
          </w:p>
        </w:tc>
      </w:tr>
      <w:tr w:rsidR="00827955" w:rsidRPr="00827955" w:rsidTr="00FB5EB0">
        <w:trPr>
          <w:trHeight w:val="926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PCC’s address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i/>
                <w:sz w:val="24"/>
                <w:szCs w:val="24"/>
              </w:rPr>
              <w:t>Address of Church</w:t>
            </w:r>
          </w:p>
        </w:tc>
      </w:tr>
      <w:tr w:rsidR="00827955" w:rsidRPr="00827955" w:rsidTr="00FB5EB0">
        <w:trPr>
          <w:trHeight w:val="893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Date of Report’s submission to the Charity Commission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1104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The name and contact details of the person submitting the Report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i/>
                <w:sz w:val="24"/>
                <w:szCs w:val="24"/>
              </w:rPr>
              <w:t>Incumbent or churchwarden or one of the people who have been delegated</w:t>
            </w:r>
          </w:p>
        </w:tc>
      </w:tr>
      <w:tr w:rsidR="00827955" w:rsidRPr="00827955" w:rsidTr="00FB5EB0">
        <w:trPr>
          <w:trHeight w:val="1204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How the person submitting the Report is connected to the PCC (or authority on which Report is being submitted)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816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Date of Report’s submission to Church House, Leeds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1315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 xml:space="preserve">Reference numbers and contact details if the incident has been reported to other organisations, </w:t>
            </w:r>
            <w:proofErr w:type="spellStart"/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proofErr w:type="spellEnd"/>
            <w:r w:rsidRPr="00827955">
              <w:rPr>
                <w:rFonts w:asciiTheme="minorHAnsi" w:hAnsiTheme="minorHAnsi" w:cstheme="minorHAnsi"/>
                <w:sz w:val="24"/>
                <w:szCs w:val="24"/>
              </w:rPr>
              <w:t xml:space="preserve"> the police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1034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Names and registration numbers of other charities involved in the incident, if relevant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1060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Name and contact details (email and telephone) of named contact for follow-up queries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567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Nature of the Incident</w:t>
            </w:r>
            <w:r w:rsidRPr="00827955">
              <w:rPr>
                <w:rStyle w:val="FootnoteReference"/>
                <w:rFonts w:asciiTheme="minorHAnsi" w:hAnsiTheme="minorHAnsi" w:cstheme="minorHAnsi"/>
                <w:sz w:val="24"/>
                <w:szCs w:val="24"/>
              </w:rPr>
              <w:footnoteReference w:id="4"/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4951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Details of the Incident:</w:t>
            </w: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8"/>
              </w:numPr>
              <w:spacing w:before="0"/>
              <w:ind w:left="313" w:hanging="313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When did it happen?</w:t>
            </w:r>
          </w:p>
          <w:p w:rsidR="00827955" w:rsidRPr="00827955" w:rsidRDefault="00827955" w:rsidP="00FB5EB0">
            <w:pPr>
              <w:pStyle w:val="ListParagraph"/>
              <w:ind w:left="3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8"/>
              </w:numPr>
              <w:spacing w:before="0"/>
              <w:ind w:left="313" w:hanging="313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What happened?</w:t>
            </w:r>
          </w:p>
          <w:p w:rsidR="00827955" w:rsidRPr="00827955" w:rsidRDefault="00827955" w:rsidP="00FB5EB0">
            <w:pPr>
              <w:pStyle w:val="ListParagraph"/>
              <w:ind w:left="3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8"/>
              </w:numPr>
              <w:spacing w:before="0"/>
              <w:ind w:left="313" w:hanging="313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When did the PCC first become aware of it?</w:t>
            </w:r>
          </w:p>
          <w:p w:rsidR="00827955" w:rsidRPr="00827955" w:rsidRDefault="00827955" w:rsidP="00FB5EB0">
            <w:pPr>
              <w:pStyle w:val="ListParagraph"/>
              <w:ind w:left="3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8"/>
              </w:numPr>
              <w:spacing w:before="0"/>
              <w:ind w:left="313" w:hanging="313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How did the PCC first become aware of it?</w:t>
            </w: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8"/>
              </w:numPr>
              <w:spacing w:before="0"/>
              <w:ind w:left="313" w:hanging="313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Is it an isolated incident, or part of a series of incidents?  If part of a series, provide full details.</w:t>
            </w:r>
          </w:p>
          <w:p w:rsidR="00827955" w:rsidRPr="00827955" w:rsidRDefault="00827955" w:rsidP="00FB5EB0">
            <w:pPr>
              <w:pStyle w:val="ListParagraph"/>
              <w:ind w:left="3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8"/>
              </w:numPr>
              <w:spacing w:before="0"/>
              <w:ind w:left="313" w:hanging="313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What impact has the incident had on the PCC’s beneficiaries, finances, staff, operations or reputation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i/>
                <w:sz w:val="24"/>
                <w:szCs w:val="24"/>
              </w:rPr>
              <w:t>Be as succinct as possible</w:t>
            </w:r>
          </w:p>
        </w:tc>
      </w:tr>
      <w:tr w:rsidR="00827955" w:rsidRPr="00827955" w:rsidTr="00FB5EB0">
        <w:trPr>
          <w:trHeight w:val="1832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Are all or only some of the trustees aware of the incident (</w:t>
            </w:r>
            <w:proofErr w:type="spellStart"/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proofErr w:type="spellEnd"/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, only some of the trustees may be aware where the Serious Incident involves a trustee, someone who is connected to a trustee, or a senior member of staff)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3589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Is anyone in the PCC involved (trustee, office holder, employee, volunteer, beneficiary)?</w:t>
            </w: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 xml:space="preserve">If so, what is their role in the PCC? </w:t>
            </w: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Are you aware of any positions they hold in other charities?</w:t>
            </w: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Will any disciplinary action need to be taken against an individual?  Has the person resigned?  If so, provide details.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3108"/>
          <w:jc w:val="center"/>
        </w:trPr>
        <w:tc>
          <w:tcPr>
            <w:tcW w:w="5098" w:type="dxa"/>
          </w:tcPr>
          <w:p w:rsidR="00827955" w:rsidRPr="00827955" w:rsidRDefault="00827955" w:rsidP="00192A4D">
            <w:pPr>
              <w:pStyle w:val="ListParagraph"/>
              <w:ind w:left="0" w:firstLine="29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Loss:</w:t>
            </w:r>
          </w:p>
          <w:p w:rsidR="00827955" w:rsidRDefault="00827955" w:rsidP="00192A4D">
            <w:pPr>
              <w:pStyle w:val="ListParagraph"/>
              <w:ind w:left="0" w:firstLine="29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What is the estimated value of the loss?</w:t>
            </w:r>
          </w:p>
          <w:p w:rsidR="00192A4D" w:rsidRPr="00827955" w:rsidRDefault="00192A4D" w:rsidP="00192A4D">
            <w:pPr>
              <w:pStyle w:val="ListParagraph"/>
              <w:ind w:left="0" w:firstLine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192A4D">
            <w:pPr>
              <w:pStyle w:val="ListParagraph"/>
              <w:ind w:left="0" w:firstLine="29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How much of the loss (if any) might be recoverable and, if so, what steps are being taken to recover it?</w:t>
            </w:r>
          </w:p>
          <w:p w:rsidR="00827955" w:rsidRPr="00827955" w:rsidRDefault="00827955" w:rsidP="00192A4D">
            <w:pPr>
              <w:pStyle w:val="ListParagraph"/>
              <w:ind w:left="0" w:firstLine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Default="00827955" w:rsidP="00192A4D">
            <w:pPr>
              <w:pStyle w:val="ListParagraph"/>
              <w:ind w:left="0" w:firstLine="29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Are the PCC’s losses covered by insurance?</w:t>
            </w:r>
          </w:p>
          <w:p w:rsidR="00192A4D" w:rsidRPr="00827955" w:rsidRDefault="00192A4D" w:rsidP="00192A4D">
            <w:pPr>
              <w:pStyle w:val="ListParagraph"/>
              <w:ind w:left="0" w:firstLine="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4667"/>
          <w:jc w:val="center"/>
        </w:trPr>
        <w:tc>
          <w:tcPr>
            <w:tcW w:w="5098" w:type="dxa"/>
          </w:tcPr>
          <w:p w:rsidR="00827955" w:rsidRPr="00827955" w:rsidRDefault="00827955" w:rsidP="00192A4D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How is the charity handling the incident</w:t>
            </w:r>
            <w:proofErr w:type="gramStart"/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?:</w:t>
            </w:r>
            <w:proofErr w:type="gramEnd"/>
          </w:p>
          <w:p w:rsidR="00827955" w:rsidRPr="00827955" w:rsidRDefault="00827955" w:rsidP="00FB5EB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9"/>
              </w:numPr>
              <w:spacing w:before="0"/>
              <w:ind w:left="312" w:hanging="312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Which of the charity’s policies or procedures relate to the incident and whether they were followed.</w:t>
            </w:r>
          </w:p>
          <w:p w:rsidR="00827955" w:rsidRPr="00827955" w:rsidRDefault="00827955" w:rsidP="00FB5EB0">
            <w:pPr>
              <w:pStyle w:val="ListParagraph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9"/>
              </w:numPr>
              <w:spacing w:before="0"/>
              <w:ind w:left="312" w:hanging="312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What steps the charity has taken to deal with the incident.</w:t>
            </w:r>
          </w:p>
          <w:p w:rsidR="00827955" w:rsidRPr="00827955" w:rsidRDefault="00827955" w:rsidP="00FB5EB0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9"/>
              </w:numPr>
              <w:spacing w:before="0"/>
              <w:ind w:left="312" w:hanging="312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What steps the charity has taken to prevent similar incidents.</w:t>
            </w:r>
          </w:p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955" w:rsidRPr="00827955" w:rsidRDefault="00827955" w:rsidP="00827955">
            <w:pPr>
              <w:pStyle w:val="ListParagraph"/>
              <w:numPr>
                <w:ilvl w:val="0"/>
                <w:numId w:val="9"/>
              </w:numPr>
              <w:spacing w:before="0"/>
              <w:ind w:left="312" w:hanging="312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Where applicable, the charity’s media handling or press lines, including a link to a press release if available.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978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Provide details of any anticipated next steps.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27955" w:rsidRPr="00827955" w:rsidTr="00FB5EB0">
        <w:trPr>
          <w:trHeight w:val="2257"/>
          <w:jc w:val="center"/>
        </w:trPr>
        <w:tc>
          <w:tcPr>
            <w:tcW w:w="5098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955">
              <w:rPr>
                <w:rFonts w:asciiTheme="minorHAnsi" w:hAnsiTheme="minorHAnsi" w:cstheme="minorHAnsi"/>
                <w:sz w:val="24"/>
                <w:szCs w:val="24"/>
              </w:rPr>
              <w:t>Provide any additional information that is not provided above which is of relevant to the Serious Incident being reported.</w:t>
            </w:r>
          </w:p>
        </w:tc>
        <w:tc>
          <w:tcPr>
            <w:tcW w:w="4962" w:type="dxa"/>
          </w:tcPr>
          <w:p w:rsidR="00827955" w:rsidRPr="00827955" w:rsidRDefault="00827955" w:rsidP="00FB5E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827955" w:rsidRPr="00827955" w:rsidRDefault="00827955" w:rsidP="00827955">
      <w:pPr>
        <w:rPr>
          <w:rFonts w:asciiTheme="minorHAnsi" w:hAnsiTheme="minorHAnsi" w:cstheme="minorHAnsi"/>
          <w:b/>
          <w:sz w:val="24"/>
          <w:szCs w:val="24"/>
        </w:rPr>
      </w:pPr>
    </w:p>
    <w:p w:rsidR="00827955" w:rsidRPr="00827955" w:rsidRDefault="00827955" w:rsidP="00827955">
      <w:pPr>
        <w:rPr>
          <w:rFonts w:asciiTheme="minorHAnsi" w:hAnsiTheme="minorHAnsi" w:cstheme="minorHAnsi"/>
          <w:sz w:val="24"/>
          <w:szCs w:val="24"/>
        </w:rPr>
      </w:pPr>
    </w:p>
    <w:p w:rsidR="00827955" w:rsidRPr="00827955" w:rsidRDefault="00827955" w:rsidP="00827955">
      <w:pPr>
        <w:rPr>
          <w:rFonts w:asciiTheme="minorHAnsi" w:hAnsiTheme="minorHAnsi" w:cstheme="minorHAnsi"/>
          <w:sz w:val="24"/>
          <w:szCs w:val="24"/>
        </w:rPr>
      </w:pPr>
    </w:p>
    <w:p w:rsidR="002E495D" w:rsidRPr="002F332E" w:rsidRDefault="002E495D" w:rsidP="00827955">
      <w:pPr>
        <w:pStyle w:val="Heading1"/>
        <w:ind w:left="0" w:right="2" w:firstLine="0"/>
        <w:jc w:val="center"/>
        <w:rPr>
          <w:rFonts w:asciiTheme="minorHAnsi" w:hAnsiTheme="minorHAnsi"/>
          <w:b/>
          <w:sz w:val="24"/>
          <w:szCs w:val="24"/>
        </w:rPr>
      </w:pPr>
    </w:p>
    <w:sectPr w:rsidR="002E495D" w:rsidRPr="002F332E" w:rsidSect="002872BE">
      <w:pgSz w:w="11910" w:h="16840"/>
      <w:pgMar w:top="567" w:right="1418" w:bottom="851" w:left="1418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5D" w:rsidRDefault="00A76926">
      <w:r>
        <w:separator/>
      </w:r>
    </w:p>
  </w:endnote>
  <w:endnote w:type="continuationSeparator" w:id="0">
    <w:p w:rsidR="002E495D" w:rsidRDefault="00A7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70" w:rsidRDefault="0094363D">
    <w:pPr>
      <w:pStyle w:val="BodyText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312" behindDoc="1" locked="0" layoutInCell="1" allowOverlap="1">
              <wp:simplePos x="0" y="0"/>
              <wp:positionH relativeFrom="page">
                <wp:posOffset>6478905</wp:posOffset>
              </wp:positionH>
              <wp:positionV relativeFrom="page">
                <wp:posOffset>9916160</wp:posOffset>
              </wp:positionV>
              <wp:extent cx="194310" cy="165735"/>
              <wp:effectExtent l="1905" t="63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70" w:rsidRDefault="00617470">
                          <w:pPr>
                            <w:pStyle w:val="BodyText"/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15pt;margin-top:780.8pt;width:15.3pt;height:13.05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BWqPM34gAAAA8BAAAP&#10;AAAAZHJzL2Rvd25yZXYueG1sTI/BTsMwEETvSPyDtZW4UbtFTds0TlUhOCEh0nDg6MRuYjVeh9ht&#10;w9+zOcFtZ3c0+ybbj65jVzME61HCYi6AGay9tthI+CxfHzfAQlSoVefRSPgxAfb5/V2mUu1vWJjr&#10;MTaMQjCkSkIbY59yHurWOBXmvjdIt5MfnIokh4brQd0o3HV8KUTCnbJIH1rVm+fW1OfjxUk4fGHx&#10;Yr/fq4/iVNiy3Ap8S85SPszGww5YNGP8M8OET+iQE1PlL6gD60iLpXgiL02rZJEAmzxiJbbAqmm3&#10;Wa+B5xn/3yP/BQ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Fao8zfiAAAADwEAAA8A&#10;AAAAAAAAAAAAAAAABAUAAGRycy9kb3ducmV2LnhtbFBLBQYAAAAABAAEAPMAAAATBgAAAAA=&#10;" filled="f" stroked="f">
              <v:textbox inset="0,0,0,0">
                <w:txbxContent>
                  <w:p w:rsidR="00617470" w:rsidRDefault="00617470">
                    <w:pPr>
                      <w:pStyle w:val="BodyText"/>
                      <w:spacing w:line="234" w:lineRule="exact"/>
                      <w:ind w:left="4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5D" w:rsidRDefault="00A76926">
      <w:r>
        <w:separator/>
      </w:r>
    </w:p>
  </w:footnote>
  <w:footnote w:type="continuationSeparator" w:id="0">
    <w:p w:rsidR="002E495D" w:rsidRDefault="00A76926">
      <w:r>
        <w:continuationSeparator/>
      </w:r>
    </w:p>
  </w:footnote>
  <w:footnote w:id="1">
    <w:p w:rsidR="00F428E3" w:rsidRDefault="00F42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624B">
        <w:rPr>
          <w:rFonts w:asciiTheme="minorHAnsi" w:hAnsiTheme="minorHAnsi"/>
          <w:szCs w:val="18"/>
        </w:rPr>
        <w:t>Other than safeguarding Serious Incidents which are covered in separate guidance.</w:t>
      </w:r>
    </w:p>
  </w:footnote>
  <w:footnote w:id="2">
    <w:p w:rsidR="00F428E3" w:rsidRPr="00F428E3" w:rsidRDefault="00F428E3" w:rsidP="00F428E3">
      <w:pPr>
        <w:jc w:val="both"/>
        <w:rPr>
          <w:rFonts w:asciiTheme="minorHAnsi" w:hAnsiTheme="minorHAnsi"/>
          <w:sz w:val="20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428E3">
        <w:rPr>
          <w:rFonts w:asciiTheme="minorHAnsi" w:hAnsiTheme="minorHAnsi"/>
          <w:sz w:val="20"/>
          <w:szCs w:val="24"/>
        </w:rPr>
        <w:t xml:space="preserve">Charity Commission Toolkit on verification of donations provides guidance on how to verify donations and managing the risks involved: </w:t>
      </w:r>
      <w:hyperlink r:id="rId1">
        <w:r w:rsidRPr="00F428E3">
          <w:rPr>
            <w:rFonts w:asciiTheme="minorHAnsi" w:hAnsiTheme="minorHAnsi"/>
            <w:color w:val="0562C1"/>
            <w:sz w:val="20"/>
            <w:szCs w:val="24"/>
            <w:u w:val="single" w:color="0562C1"/>
          </w:rPr>
          <w:t>https://www.gov.uk/government/publications/charities-due-diligence-checks-and-monitoring-end-use-of-funds</w:t>
        </w:r>
      </w:hyperlink>
    </w:p>
    <w:p w:rsidR="00F428E3" w:rsidRDefault="00F428E3">
      <w:pPr>
        <w:pStyle w:val="FootnoteText"/>
      </w:pPr>
    </w:p>
  </w:footnote>
  <w:footnote w:id="3">
    <w:p w:rsidR="00755BFD" w:rsidRDefault="00755BFD" w:rsidP="008E4DA3">
      <w:pPr>
        <w:pStyle w:val="BodyText"/>
        <w:ind w:left="142" w:right="116" w:hanging="142"/>
        <w:jc w:val="both"/>
        <w:rPr>
          <w:rFonts w:asciiTheme="minorHAnsi" w:hAnsi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8E4DA3">
        <w:tab/>
      </w:r>
      <w:r w:rsidRPr="00755BFD">
        <w:rPr>
          <w:rFonts w:asciiTheme="minorHAnsi" w:hAnsiTheme="minorHAnsi"/>
          <w:sz w:val="20"/>
          <w:szCs w:val="20"/>
        </w:rPr>
        <w:t>A record of all Serious Incident reports, as well as any follow-up correspondence and copies of any papers sent to the Charity Commission, must be retained and stored securely, so that they can be referred to at a later date if necessary.</w:t>
      </w:r>
    </w:p>
    <w:p w:rsidR="00755BFD" w:rsidRPr="00755BFD" w:rsidRDefault="00755BFD" w:rsidP="008E4DA3">
      <w:pPr>
        <w:pStyle w:val="BodyText"/>
        <w:ind w:left="142" w:right="116" w:hanging="142"/>
        <w:jc w:val="both"/>
        <w:rPr>
          <w:rFonts w:asciiTheme="minorHAnsi" w:hAnsiTheme="minorHAnsi"/>
          <w:sz w:val="24"/>
          <w:szCs w:val="24"/>
        </w:rPr>
      </w:pPr>
    </w:p>
  </w:footnote>
  <w:footnote w:id="4">
    <w:p w:rsidR="00827955" w:rsidRDefault="00827955" w:rsidP="00827955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 </w:t>
      </w:r>
      <w:r w:rsidRPr="00337640">
        <w:rPr>
          <w:sz w:val="18"/>
        </w:rPr>
        <w:t>Summarise incident in one sentence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FEE"/>
    <w:multiLevelType w:val="hybridMultilevel"/>
    <w:tmpl w:val="AD80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335"/>
    <w:multiLevelType w:val="hybridMultilevel"/>
    <w:tmpl w:val="4B58CB30"/>
    <w:lvl w:ilvl="0" w:tplc="94062226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 w:hint="default"/>
        <w:color w:val="2E5395"/>
        <w:spacing w:val="-1"/>
        <w:w w:val="99"/>
        <w:sz w:val="32"/>
        <w:szCs w:val="32"/>
        <w:lang w:val="en-GB" w:eastAsia="en-GB" w:bidi="en-GB"/>
      </w:rPr>
    </w:lvl>
    <w:lvl w:ilvl="1" w:tplc="912228A4">
      <w:numFmt w:val="bullet"/>
      <w:lvlText w:val="-"/>
      <w:lvlJc w:val="left"/>
      <w:pPr>
        <w:ind w:left="1252" w:hanging="567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A086BBE2">
      <w:numFmt w:val="bullet"/>
      <w:lvlText w:val="•"/>
      <w:lvlJc w:val="left"/>
      <w:pPr>
        <w:ind w:left="2149" w:hanging="567"/>
      </w:pPr>
      <w:rPr>
        <w:rFonts w:hint="default"/>
        <w:lang w:val="en-GB" w:eastAsia="en-GB" w:bidi="en-GB"/>
      </w:rPr>
    </w:lvl>
    <w:lvl w:ilvl="3" w:tplc="79A04CDA">
      <w:numFmt w:val="bullet"/>
      <w:lvlText w:val="•"/>
      <w:lvlJc w:val="left"/>
      <w:pPr>
        <w:ind w:left="3039" w:hanging="567"/>
      </w:pPr>
      <w:rPr>
        <w:rFonts w:hint="default"/>
        <w:lang w:val="en-GB" w:eastAsia="en-GB" w:bidi="en-GB"/>
      </w:rPr>
    </w:lvl>
    <w:lvl w:ilvl="4" w:tplc="96F4778E">
      <w:numFmt w:val="bullet"/>
      <w:lvlText w:val="•"/>
      <w:lvlJc w:val="left"/>
      <w:pPr>
        <w:ind w:left="3928" w:hanging="567"/>
      </w:pPr>
      <w:rPr>
        <w:rFonts w:hint="default"/>
        <w:lang w:val="en-GB" w:eastAsia="en-GB" w:bidi="en-GB"/>
      </w:rPr>
    </w:lvl>
    <w:lvl w:ilvl="5" w:tplc="1C82E670">
      <w:numFmt w:val="bullet"/>
      <w:lvlText w:val="•"/>
      <w:lvlJc w:val="left"/>
      <w:pPr>
        <w:ind w:left="4818" w:hanging="567"/>
      </w:pPr>
      <w:rPr>
        <w:rFonts w:hint="default"/>
        <w:lang w:val="en-GB" w:eastAsia="en-GB" w:bidi="en-GB"/>
      </w:rPr>
    </w:lvl>
    <w:lvl w:ilvl="6" w:tplc="E2602A08">
      <w:numFmt w:val="bullet"/>
      <w:lvlText w:val="•"/>
      <w:lvlJc w:val="left"/>
      <w:pPr>
        <w:ind w:left="5708" w:hanging="567"/>
      </w:pPr>
      <w:rPr>
        <w:rFonts w:hint="default"/>
        <w:lang w:val="en-GB" w:eastAsia="en-GB" w:bidi="en-GB"/>
      </w:rPr>
    </w:lvl>
    <w:lvl w:ilvl="7" w:tplc="03B6A0A6">
      <w:numFmt w:val="bullet"/>
      <w:lvlText w:val="•"/>
      <w:lvlJc w:val="left"/>
      <w:pPr>
        <w:ind w:left="6597" w:hanging="567"/>
      </w:pPr>
      <w:rPr>
        <w:rFonts w:hint="default"/>
        <w:lang w:val="en-GB" w:eastAsia="en-GB" w:bidi="en-GB"/>
      </w:rPr>
    </w:lvl>
    <w:lvl w:ilvl="8" w:tplc="785E4586">
      <w:numFmt w:val="bullet"/>
      <w:lvlText w:val="•"/>
      <w:lvlJc w:val="left"/>
      <w:pPr>
        <w:ind w:left="7487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91E0331"/>
    <w:multiLevelType w:val="hybridMultilevel"/>
    <w:tmpl w:val="2C92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6937"/>
    <w:multiLevelType w:val="hybridMultilevel"/>
    <w:tmpl w:val="46EE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4FC"/>
    <w:multiLevelType w:val="hybridMultilevel"/>
    <w:tmpl w:val="0F30280C"/>
    <w:lvl w:ilvl="0" w:tplc="E240409A">
      <w:start w:val="1"/>
      <w:numFmt w:val="lowerLetter"/>
      <w:lvlText w:val="(%1)"/>
      <w:lvlJc w:val="left"/>
      <w:pPr>
        <w:ind w:left="1252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CAEC5656">
      <w:numFmt w:val="bullet"/>
      <w:lvlText w:val="•"/>
      <w:lvlJc w:val="left"/>
      <w:pPr>
        <w:ind w:left="2060" w:hanging="567"/>
      </w:pPr>
      <w:rPr>
        <w:rFonts w:hint="default"/>
        <w:lang w:val="en-GB" w:eastAsia="en-GB" w:bidi="en-GB"/>
      </w:rPr>
    </w:lvl>
    <w:lvl w:ilvl="2" w:tplc="92F0A2EC">
      <w:numFmt w:val="bullet"/>
      <w:lvlText w:val="•"/>
      <w:lvlJc w:val="left"/>
      <w:pPr>
        <w:ind w:left="2861" w:hanging="567"/>
      </w:pPr>
      <w:rPr>
        <w:rFonts w:hint="default"/>
        <w:lang w:val="en-GB" w:eastAsia="en-GB" w:bidi="en-GB"/>
      </w:rPr>
    </w:lvl>
    <w:lvl w:ilvl="3" w:tplc="BE542A0C">
      <w:numFmt w:val="bullet"/>
      <w:lvlText w:val="•"/>
      <w:lvlJc w:val="left"/>
      <w:pPr>
        <w:ind w:left="3661" w:hanging="567"/>
      </w:pPr>
      <w:rPr>
        <w:rFonts w:hint="default"/>
        <w:lang w:val="en-GB" w:eastAsia="en-GB" w:bidi="en-GB"/>
      </w:rPr>
    </w:lvl>
    <w:lvl w:ilvl="4" w:tplc="550E69CC">
      <w:numFmt w:val="bullet"/>
      <w:lvlText w:val="•"/>
      <w:lvlJc w:val="left"/>
      <w:pPr>
        <w:ind w:left="4462" w:hanging="567"/>
      </w:pPr>
      <w:rPr>
        <w:rFonts w:hint="default"/>
        <w:lang w:val="en-GB" w:eastAsia="en-GB" w:bidi="en-GB"/>
      </w:rPr>
    </w:lvl>
    <w:lvl w:ilvl="5" w:tplc="179E8E9E">
      <w:numFmt w:val="bullet"/>
      <w:lvlText w:val="•"/>
      <w:lvlJc w:val="left"/>
      <w:pPr>
        <w:ind w:left="5263" w:hanging="567"/>
      </w:pPr>
      <w:rPr>
        <w:rFonts w:hint="default"/>
        <w:lang w:val="en-GB" w:eastAsia="en-GB" w:bidi="en-GB"/>
      </w:rPr>
    </w:lvl>
    <w:lvl w:ilvl="6" w:tplc="CE7E4D4C">
      <w:numFmt w:val="bullet"/>
      <w:lvlText w:val="•"/>
      <w:lvlJc w:val="left"/>
      <w:pPr>
        <w:ind w:left="6063" w:hanging="567"/>
      </w:pPr>
      <w:rPr>
        <w:rFonts w:hint="default"/>
        <w:lang w:val="en-GB" w:eastAsia="en-GB" w:bidi="en-GB"/>
      </w:rPr>
    </w:lvl>
    <w:lvl w:ilvl="7" w:tplc="E81AEA92">
      <w:numFmt w:val="bullet"/>
      <w:lvlText w:val="•"/>
      <w:lvlJc w:val="left"/>
      <w:pPr>
        <w:ind w:left="6864" w:hanging="567"/>
      </w:pPr>
      <w:rPr>
        <w:rFonts w:hint="default"/>
        <w:lang w:val="en-GB" w:eastAsia="en-GB" w:bidi="en-GB"/>
      </w:rPr>
    </w:lvl>
    <w:lvl w:ilvl="8" w:tplc="61C2BD68">
      <w:numFmt w:val="bullet"/>
      <w:lvlText w:val="•"/>
      <w:lvlJc w:val="left"/>
      <w:pPr>
        <w:ind w:left="7665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14291193"/>
    <w:multiLevelType w:val="hybridMultilevel"/>
    <w:tmpl w:val="2D069700"/>
    <w:lvl w:ilvl="0" w:tplc="CA8004C4">
      <w:start w:val="1"/>
      <w:numFmt w:val="decimal"/>
      <w:lvlText w:val="%1."/>
      <w:lvlJc w:val="left"/>
      <w:pPr>
        <w:ind w:left="479" w:hanging="360"/>
      </w:pPr>
      <w:rPr>
        <w:rFonts w:hint="default"/>
        <w:color w:val="2E5395"/>
      </w:rPr>
    </w:lvl>
    <w:lvl w:ilvl="1" w:tplc="08090019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3DC73195"/>
    <w:multiLevelType w:val="hybridMultilevel"/>
    <w:tmpl w:val="E07EDA10"/>
    <w:lvl w:ilvl="0" w:tplc="2342F826">
      <w:start w:val="1"/>
      <w:numFmt w:val="upperLetter"/>
      <w:lvlText w:val="(%1)"/>
      <w:lvlJc w:val="left"/>
      <w:pPr>
        <w:ind w:left="686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965E18EC">
      <w:numFmt w:val="bullet"/>
      <w:lvlText w:val="-"/>
      <w:lvlJc w:val="left"/>
      <w:pPr>
        <w:ind w:left="1252" w:hanging="567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9A74DC6E">
      <w:numFmt w:val="bullet"/>
      <w:lvlText w:val="•"/>
      <w:lvlJc w:val="left"/>
      <w:pPr>
        <w:ind w:left="2149" w:hanging="567"/>
      </w:pPr>
      <w:rPr>
        <w:rFonts w:hint="default"/>
        <w:lang w:val="en-GB" w:eastAsia="en-GB" w:bidi="en-GB"/>
      </w:rPr>
    </w:lvl>
    <w:lvl w:ilvl="3" w:tplc="2054B664">
      <w:numFmt w:val="bullet"/>
      <w:lvlText w:val="•"/>
      <w:lvlJc w:val="left"/>
      <w:pPr>
        <w:ind w:left="3039" w:hanging="567"/>
      </w:pPr>
      <w:rPr>
        <w:rFonts w:hint="default"/>
        <w:lang w:val="en-GB" w:eastAsia="en-GB" w:bidi="en-GB"/>
      </w:rPr>
    </w:lvl>
    <w:lvl w:ilvl="4" w:tplc="A3764F76">
      <w:numFmt w:val="bullet"/>
      <w:lvlText w:val="•"/>
      <w:lvlJc w:val="left"/>
      <w:pPr>
        <w:ind w:left="3928" w:hanging="567"/>
      </w:pPr>
      <w:rPr>
        <w:rFonts w:hint="default"/>
        <w:lang w:val="en-GB" w:eastAsia="en-GB" w:bidi="en-GB"/>
      </w:rPr>
    </w:lvl>
    <w:lvl w:ilvl="5" w:tplc="CDC23DAC">
      <w:numFmt w:val="bullet"/>
      <w:lvlText w:val="•"/>
      <w:lvlJc w:val="left"/>
      <w:pPr>
        <w:ind w:left="4818" w:hanging="567"/>
      </w:pPr>
      <w:rPr>
        <w:rFonts w:hint="default"/>
        <w:lang w:val="en-GB" w:eastAsia="en-GB" w:bidi="en-GB"/>
      </w:rPr>
    </w:lvl>
    <w:lvl w:ilvl="6" w:tplc="83107050">
      <w:numFmt w:val="bullet"/>
      <w:lvlText w:val="•"/>
      <w:lvlJc w:val="left"/>
      <w:pPr>
        <w:ind w:left="5708" w:hanging="567"/>
      </w:pPr>
      <w:rPr>
        <w:rFonts w:hint="default"/>
        <w:lang w:val="en-GB" w:eastAsia="en-GB" w:bidi="en-GB"/>
      </w:rPr>
    </w:lvl>
    <w:lvl w:ilvl="7" w:tplc="48A2CA02">
      <w:numFmt w:val="bullet"/>
      <w:lvlText w:val="•"/>
      <w:lvlJc w:val="left"/>
      <w:pPr>
        <w:ind w:left="6597" w:hanging="567"/>
      </w:pPr>
      <w:rPr>
        <w:rFonts w:hint="default"/>
        <w:lang w:val="en-GB" w:eastAsia="en-GB" w:bidi="en-GB"/>
      </w:rPr>
    </w:lvl>
    <w:lvl w:ilvl="8" w:tplc="2BF26EB8">
      <w:numFmt w:val="bullet"/>
      <w:lvlText w:val="•"/>
      <w:lvlJc w:val="left"/>
      <w:pPr>
        <w:ind w:left="7487" w:hanging="567"/>
      </w:pPr>
      <w:rPr>
        <w:rFonts w:hint="default"/>
        <w:lang w:val="en-GB" w:eastAsia="en-GB" w:bidi="en-GB"/>
      </w:rPr>
    </w:lvl>
  </w:abstractNum>
  <w:abstractNum w:abstractNumId="7" w15:restartNumberingAfterBreak="0">
    <w:nsid w:val="48AB175C"/>
    <w:multiLevelType w:val="hybridMultilevel"/>
    <w:tmpl w:val="95988C16"/>
    <w:lvl w:ilvl="0" w:tplc="BCB05EC0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6B32E1DE">
      <w:numFmt w:val="bullet"/>
      <w:lvlText w:val="•"/>
      <w:lvlJc w:val="left"/>
      <w:pPr>
        <w:ind w:left="1105" w:hanging="360"/>
      </w:pPr>
      <w:rPr>
        <w:rFonts w:hint="default"/>
        <w:lang w:val="en-GB" w:eastAsia="en-GB" w:bidi="en-GB"/>
      </w:rPr>
    </w:lvl>
    <w:lvl w:ilvl="2" w:tplc="A7084D34">
      <w:numFmt w:val="bullet"/>
      <w:lvlText w:val="•"/>
      <w:lvlJc w:val="left"/>
      <w:pPr>
        <w:ind w:left="1390" w:hanging="360"/>
      </w:pPr>
      <w:rPr>
        <w:rFonts w:hint="default"/>
        <w:lang w:val="en-GB" w:eastAsia="en-GB" w:bidi="en-GB"/>
      </w:rPr>
    </w:lvl>
    <w:lvl w:ilvl="3" w:tplc="59D24BEA">
      <w:numFmt w:val="bullet"/>
      <w:lvlText w:val="•"/>
      <w:lvlJc w:val="left"/>
      <w:pPr>
        <w:ind w:left="1675" w:hanging="360"/>
      </w:pPr>
      <w:rPr>
        <w:rFonts w:hint="default"/>
        <w:lang w:val="en-GB" w:eastAsia="en-GB" w:bidi="en-GB"/>
      </w:rPr>
    </w:lvl>
    <w:lvl w:ilvl="4" w:tplc="D67C06FA">
      <w:numFmt w:val="bullet"/>
      <w:lvlText w:val="•"/>
      <w:lvlJc w:val="left"/>
      <w:pPr>
        <w:ind w:left="1960" w:hanging="360"/>
      </w:pPr>
      <w:rPr>
        <w:rFonts w:hint="default"/>
        <w:lang w:val="en-GB" w:eastAsia="en-GB" w:bidi="en-GB"/>
      </w:rPr>
    </w:lvl>
    <w:lvl w:ilvl="5" w:tplc="0A4A2228">
      <w:numFmt w:val="bullet"/>
      <w:lvlText w:val="•"/>
      <w:lvlJc w:val="left"/>
      <w:pPr>
        <w:ind w:left="2246" w:hanging="360"/>
      </w:pPr>
      <w:rPr>
        <w:rFonts w:hint="default"/>
        <w:lang w:val="en-GB" w:eastAsia="en-GB" w:bidi="en-GB"/>
      </w:rPr>
    </w:lvl>
    <w:lvl w:ilvl="6" w:tplc="A1F82C7C">
      <w:numFmt w:val="bullet"/>
      <w:lvlText w:val="•"/>
      <w:lvlJc w:val="left"/>
      <w:pPr>
        <w:ind w:left="2531" w:hanging="360"/>
      </w:pPr>
      <w:rPr>
        <w:rFonts w:hint="default"/>
        <w:lang w:val="en-GB" w:eastAsia="en-GB" w:bidi="en-GB"/>
      </w:rPr>
    </w:lvl>
    <w:lvl w:ilvl="7" w:tplc="D99E0110">
      <w:numFmt w:val="bullet"/>
      <w:lvlText w:val="•"/>
      <w:lvlJc w:val="left"/>
      <w:pPr>
        <w:ind w:left="2816" w:hanging="360"/>
      </w:pPr>
      <w:rPr>
        <w:rFonts w:hint="default"/>
        <w:lang w:val="en-GB" w:eastAsia="en-GB" w:bidi="en-GB"/>
      </w:rPr>
    </w:lvl>
    <w:lvl w:ilvl="8" w:tplc="30BACDA8">
      <w:numFmt w:val="bullet"/>
      <w:lvlText w:val="•"/>
      <w:lvlJc w:val="left"/>
      <w:pPr>
        <w:ind w:left="3101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4C593CA3"/>
    <w:multiLevelType w:val="hybridMultilevel"/>
    <w:tmpl w:val="DC100B58"/>
    <w:lvl w:ilvl="0" w:tplc="9DECFFC4">
      <w:start w:val="1"/>
      <w:numFmt w:val="upperLetter"/>
      <w:lvlText w:val="(%1)"/>
      <w:lvlJc w:val="left"/>
      <w:pPr>
        <w:ind w:left="686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C3E003B2">
      <w:numFmt w:val="bullet"/>
      <w:lvlText w:val="-"/>
      <w:lvlJc w:val="left"/>
      <w:pPr>
        <w:ind w:left="1252" w:hanging="567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2DECFBBA">
      <w:numFmt w:val="bullet"/>
      <w:lvlText w:val="•"/>
      <w:lvlJc w:val="left"/>
      <w:pPr>
        <w:ind w:left="2149" w:hanging="567"/>
      </w:pPr>
      <w:rPr>
        <w:rFonts w:hint="default"/>
        <w:lang w:val="en-GB" w:eastAsia="en-GB" w:bidi="en-GB"/>
      </w:rPr>
    </w:lvl>
    <w:lvl w:ilvl="3" w:tplc="D70C76AA">
      <w:numFmt w:val="bullet"/>
      <w:lvlText w:val="•"/>
      <w:lvlJc w:val="left"/>
      <w:pPr>
        <w:ind w:left="3039" w:hanging="567"/>
      </w:pPr>
      <w:rPr>
        <w:rFonts w:hint="default"/>
        <w:lang w:val="en-GB" w:eastAsia="en-GB" w:bidi="en-GB"/>
      </w:rPr>
    </w:lvl>
    <w:lvl w:ilvl="4" w:tplc="E2DE0A9C">
      <w:numFmt w:val="bullet"/>
      <w:lvlText w:val="•"/>
      <w:lvlJc w:val="left"/>
      <w:pPr>
        <w:ind w:left="3928" w:hanging="567"/>
      </w:pPr>
      <w:rPr>
        <w:rFonts w:hint="default"/>
        <w:lang w:val="en-GB" w:eastAsia="en-GB" w:bidi="en-GB"/>
      </w:rPr>
    </w:lvl>
    <w:lvl w:ilvl="5" w:tplc="44C8FDC8">
      <w:numFmt w:val="bullet"/>
      <w:lvlText w:val="•"/>
      <w:lvlJc w:val="left"/>
      <w:pPr>
        <w:ind w:left="4818" w:hanging="567"/>
      </w:pPr>
      <w:rPr>
        <w:rFonts w:hint="default"/>
        <w:lang w:val="en-GB" w:eastAsia="en-GB" w:bidi="en-GB"/>
      </w:rPr>
    </w:lvl>
    <w:lvl w:ilvl="6" w:tplc="965817A8">
      <w:numFmt w:val="bullet"/>
      <w:lvlText w:val="•"/>
      <w:lvlJc w:val="left"/>
      <w:pPr>
        <w:ind w:left="5708" w:hanging="567"/>
      </w:pPr>
      <w:rPr>
        <w:rFonts w:hint="default"/>
        <w:lang w:val="en-GB" w:eastAsia="en-GB" w:bidi="en-GB"/>
      </w:rPr>
    </w:lvl>
    <w:lvl w:ilvl="7" w:tplc="DCDC60F2">
      <w:numFmt w:val="bullet"/>
      <w:lvlText w:val="•"/>
      <w:lvlJc w:val="left"/>
      <w:pPr>
        <w:ind w:left="6597" w:hanging="567"/>
      </w:pPr>
      <w:rPr>
        <w:rFonts w:hint="default"/>
        <w:lang w:val="en-GB" w:eastAsia="en-GB" w:bidi="en-GB"/>
      </w:rPr>
    </w:lvl>
    <w:lvl w:ilvl="8" w:tplc="AAC82748">
      <w:numFmt w:val="bullet"/>
      <w:lvlText w:val="•"/>
      <w:lvlJc w:val="left"/>
      <w:pPr>
        <w:ind w:left="7487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57632ED6"/>
    <w:multiLevelType w:val="hybridMultilevel"/>
    <w:tmpl w:val="E22C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851BC"/>
    <w:multiLevelType w:val="hybridMultilevel"/>
    <w:tmpl w:val="C4AE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647B9"/>
    <w:multiLevelType w:val="hybridMultilevel"/>
    <w:tmpl w:val="A3429F00"/>
    <w:lvl w:ilvl="0" w:tplc="47C24E5A">
      <w:numFmt w:val="bullet"/>
      <w:lvlText w:val="-"/>
      <w:lvlJc w:val="left"/>
      <w:pPr>
        <w:ind w:left="1252" w:hanging="567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366E83BA">
      <w:numFmt w:val="bullet"/>
      <w:lvlText w:val="•"/>
      <w:lvlJc w:val="left"/>
      <w:pPr>
        <w:ind w:left="2060" w:hanging="567"/>
      </w:pPr>
      <w:rPr>
        <w:rFonts w:hint="default"/>
        <w:lang w:val="en-GB" w:eastAsia="en-GB" w:bidi="en-GB"/>
      </w:rPr>
    </w:lvl>
    <w:lvl w:ilvl="2" w:tplc="0F66360A">
      <w:numFmt w:val="bullet"/>
      <w:lvlText w:val="•"/>
      <w:lvlJc w:val="left"/>
      <w:pPr>
        <w:ind w:left="2861" w:hanging="567"/>
      </w:pPr>
      <w:rPr>
        <w:rFonts w:hint="default"/>
        <w:lang w:val="en-GB" w:eastAsia="en-GB" w:bidi="en-GB"/>
      </w:rPr>
    </w:lvl>
    <w:lvl w:ilvl="3" w:tplc="91B68C96">
      <w:numFmt w:val="bullet"/>
      <w:lvlText w:val="•"/>
      <w:lvlJc w:val="left"/>
      <w:pPr>
        <w:ind w:left="3661" w:hanging="567"/>
      </w:pPr>
      <w:rPr>
        <w:rFonts w:hint="default"/>
        <w:lang w:val="en-GB" w:eastAsia="en-GB" w:bidi="en-GB"/>
      </w:rPr>
    </w:lvl>
    <w:lvl w:ilvl="4" w:tplc="D410F20C">
      <w:numFmt w:val="bullet"/>
      <w:lvlText w:val="•"/>
      <w:lvlJc w:val="left"/>
      <w:pPr>
        <w:ind w:left="4462" w:hanging="567"/>
      </w:pPr>
      <w:rPr>
        <w:rFonts w:hint="default"/>
        <w:lang w:val="en-GB" w:eastAsia="en-GB" w:bidi="en-GB"/>
      </w:rPr>
    </w:lvl>
    <w:lvl w:ilvl="5" w:tplc="3808D608">
      <w:numFmt w:val="bullet"/>
      <w:lvlText w:val="•"/>
      <w:lvlJc w:val="left"/>
      <w:pPr>
        <w:ind w:left="5263" w:hanging="567"/>
      </w:pPr>
      <w:rPr>
        <w:rFonts w:hint="default"/>
        <w:lang w:val="en-GB" w:eastAsia="en-GB" w:bidi="en-GB"/>
      </w:rPr>
    </w:lvl>
    <w:lvl w:ilvl="6" w:tplc="70D29BAE">
      <w:numFmt w:val="bullet"/>
      <w:lvlText w:val="•"/>
      <w:lvlJc w:val="left"/>
      <w:pPr>
        <w:ind w:left="6063" w:hanging="567"/>
      </w:pPr>
      <w:rPr>
        <w:rFonts w:hint="default"/>
        <w:lang w:val="en-GB" w:eastAsia="en-GB" w:bidi="en-GB"/>
      </w:rPr>
    </w:lvl>
    <w:lvl w:ilvl="7" w:tplc="F0FC848A">
      <w:numFmt w:val="bullet"/>
      <w:lvlText w:val="•"/>
      <w:lvlJc w:val="left"/>
      <w:pPr>
        <w:ind w:left="6864" w:hanging="567"/>
      </w:pPr>
      <w:rPr>
        <w:rFonts w:hint="default"/>
        <w:lang w:val="en-GB" w:eastAsia="en-GB" w:bidi="en-GB"/>
      </w:rPr>
    </w:lvl>
    <w:lvl w:ilvl="8" w:tplc="302C96B8">
      <w:numFmt w:val="bullet"/>
      <w:lvlText w:val="•"/>
      <w:lvlJc w:val="left"/>
      <w:pPr>
        <w:ind w:left="7665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72270119"/>
    <w:multiLevelType w:val="hybridMultilevel"/>
    <w:tmpl w:val="8B8E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70"/>
    <w:rsid w:val="000A3691"/>
    <w:rsid w:val="000C06B9"/>
    <w:rsid w:val="000C26EF"/>
    <w:rsid w:val="0017403E"/>
    <w:rsid w:val="00192A4D"/>
    <w:rsid w:val="001C624B"/>
    <w:rsid w:val="001C643F"/>
    <w:rsid w:val="00255AF9"/>
    <w:rsid w:val="00261761"/>
    <w:rsid w:val="00280B18"/>
    <w:rsid w:val="002872BE"/>
    <w:rsid w:val="002E495D"/>
    <w:rsid w:val="002F332E"/>
    <w:rsid w:val="003119BD"/>
    <w:rsid w:val="00336CEB"/>
    <w:rsid w:val="00502747"/>
    <w:rsid w:val="00617470"/>
    <w:rsid w:val="0069662E"/>
    <w:rsid w:val="006C449E"/>
    <w:rsid w:val="006E515D"/>
    <w:rsid w:val="00755BFD"/>
    <w:rsid w:val="00827955"/>
    <w:rsid w:val="008A04D7"/>
    <w:rsid w:val="008E4DA3"/>
    <w:rsid w:val="0094363D"/>
    <w:rsid w:val="009824E4"/>
    <w:rsid w:val="00A76926"/>
    <w:rsid w:val="00C0081F"/>
    <w:rsid w:val="00F33781"/>
    <w:rsid w:val="00F337E7"/>
    <w:rsid w:val="00F428E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C32EC92-5FD0-48FC-8840-DE6F8F56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686" w:hanging="566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60"/>
      <w:ind w:left="1252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87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87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E"/>
    <w:rPr>
      <w:rFonts w:ascii="Arial" w:eastAsia="Arial" w:hAnsi="Arial" w:cs="Arial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8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8E3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28E3"/>
    <w:rPr>
      <w:vertAlign w:val="superscript"/>
    </w:rPr>
  </w:style>
  <w:style w:type="table" w:styleId="TableGrid">
    <w:name w:val="Table Grid"/>
    <w:basedOn w:val="TableNormal"/>
    <w:uiPriority w:val="39"/>
    <w:rsid w:val="0082795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2E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69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ishresources.org.uk/wp-content/uploads/SIR-Guidance-PCCs-Non-Safeguarding-FINAL-1-Jan-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rishresources.org.uk/wp-content/uploads/Safeguarding-SIR-Guidance-FINAL-1-Jan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ites/default/files/2019-07/Safeguarding%20SIR%20Guidance%20REVISED%201%20August%202019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charities-due-diligence-checks-and-monitoring-end-use-of-fu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CF928EA7-2A07-471E-9700-04D81769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Abeles</dc:creator>
  <cp:lastModifiedBy>Richard Earnshaw</cp:lastModifiedBy>
  <cp:revision>2</cp:revision>
  <cp:lastPrinted>2019-07-12T10:41:00Z</cp:lastPrinted>
  <dcterms:created xsi:type="dcterms:W3CDTF">2019-08-20T08:07:00Z</dcterms:created>
  <dcterms:modified xsi:type="dcterms:W3CDTF">2019-08-20T08:07:00Z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2019-06-04T00:00:00Z</vt:filetime>
  </property>
</Properties>
</file>